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00E" w:rsidRPr="00EF1C57" w:rsidRDefault="00A373FA" w:rsidP="00140D62">
      <w:pPr>
        <w:pStyle w:val="Listado"/>
        <w:numPr>
          <w:ilvl w:val="0"/>
          <w:numId w:val="0"/>
        </w:numPr>
        <w:ind w:left="397"/>
        <w:rPr>
          <w:rFonts w:cs="Open Sans"/>
        </w:rPr>
      </w:pPr>
      <w:r w:rsidRPr="00EF1C57">
        <w:rPr>
          <w:rFonts w:cs="Open Sans"/>
          <w:noProof/>
          <w:u w:val="single"/>
          <w:lang w:eastAsia="es-ES"/>
        </w:rPr>
        <w:drawing>
          <wp:anchor distT="0" distB="0" distL="114300" distR="114300" simplePos="0" relativeHeight="251658752" behindDoc="1" locked="0" layoutInCell="1" allowOverlap="1">
            <wp:simplePos x="0" y="0"/>
            <wp:positionH relativeFrom="page">
              <wp:posOffset>7951</wp:posOffset>
            </wp:positionH>
            <wp:positionV relativeFrom="paragraph">
              <wp:posOffset>-891844</wp:posOffset>
            </wp:positionV>
            <wp:extent cx="7540953" cy="106668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stiona\Pictures\Hacienda_local\Cursos_Formacion\GuiaDidactica_BG.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40953" cy="106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046F" w:rsidRPr="00EF1C57" w:rsidRDefault="00973E3A" w:rsidP="0046046F">
      <w:pPr>
        <w:spacing w:after="160" w:line="259" w:lineRule="auto"/>
        <w:rPr>
          <w:rFonts w:ascii="Open Sans" w:hAnsi="Open Sans" w:cs="Open Sans"/>
          <w:caps/>
          <w:color w:val="2BB7FF"/>
          <w:sz w:val="36"/>
          <w:szCs w:val="48"/>
          <w:u w:color="2BB7FF"/>
        </w:rPr>
      </w:pPr>
      <w:r>
        <w:rPr>
          <w:rFonts w:cs="Open Sans"/>
          <w:noProof/>
          <w:lang w:eastAsia="es-ES"/>
        </w:rPr>
        <w:pict>
          <v:shapetype id="_x0000_t202" coordsize="21600,21600" o:spt="202" path="m,l,21600r21600,l21600,xe">
            <v:stroke joinstyle="miter"/>
            <v:path gradientshapeok="t" o:connecttype="rect"/>
          </v:shapetype>
          <v:shape id="_x0000_s1061" type="#_x0000_t202" style="position:absolute;margin-left:84.7pt;margin-top:27.85pt;width:433.65pt;height:226.75pt;z-index:251659776;visibility:visible;mso-wrap-distance-top:3.6pt;mso-wrap-distance-bottom:3.6pt;mso-position-horizontal-relative:page;mso-width-relative:margin;mso-height-relative:margin;v-text-anchor:top" filled="f" stroked="f">
            <v:textbox style="mso-next-textbox:#_x0000_s1061">
              <w:txbxContent>
                <w:p w:rsidR="00794760" w:rsidRDefault="00794760" w:rsidP="00794760">
                  <w:pPr>
                    <w:pStyle w:val="TituloPrincipalPortada"/>
                  </w:pPr>
                  <w:r w:rsidRPr="006A2A75">
                    <w:t>GUÍA DIDÁCTICA</w:t>
                  </w:r>
                </w:p>
                <w:p w:rsidR="002B31DA" w:rsidRPr="00794760" w:rsidRDefault="002B31DA" w:rsidP="0046046F">
                  <w:pPr>
                    <w:pStyle w:val="CapituloPortada"/>
                  </w:pPr>
                  <w:r w:rsidRPr="00794760">
                    <w:t>Sobre el cálculo de la anualidad teórica de amortización</w:t>
                  </w:r>
                </w:p>
              </w:txbxContent>
            </v:textbox>
            <w10:wrap type="square" anchorx="page"/>
          </v:shape>
        </w:pict>
      </w:r>
    </w:p>
    <w:p w:rsidR="0046046F" w:rsidRPr="00EF1C57" w:rsidRDefault="0046046F" w:rsidP="0046046F">
      <w:pPr>
        <w:pStyle w:val="Listado"/>
        <w:numPr>
          <w:ilvl w:val="0"/>
          <w:numId w:val="0"/>
        </w:numPr>
        <w:ind w:left="397"/>
        <w:rPr>
          <w:rFonts w:cs="Open Sans"/>
        </w:rPr>
      </w:pPr>
    </w:p>
    <w:p w:rsidR="0046046F" w:rsidRPr="00EF1C57" w:rsidRDefault="0046046F" w:rsidP="0046046F">
      <w:pPr>
        <w:pStyle w:val="Listado"/>
        <w:numPr>
          <w:ilvl w:val="0"/>
          <w:numId w:val="0"/>
        </w:numPr>
        <w:ind w:left="397"/>
        <w:rPr>
          <w:rFonts w:cs="Open Sans"/>
        </w:rPr>
      </w:pPr>
    </w:p>
    <w:p w:rsidR="0046046F" w:rsidRPr="00EF1C57" w:rsidRDefault="0046046F" w:rsidP="0046046F">
      <w:pPr>
        <w:pStyle w:val="Listado"/>
        <w:numPr>
          <w:ilvl w:val="0"/>
          <w:numId w:val="0"/>
        </w:numPr>
        <w:ind w:left="397"/>
        <w:rPr>
          <w:rFonts w:cs="Open Sans"/>
        </w:rPr>
      </w:pPr>
    </w:p>
    <w:p w:rsidR="0046046F" w:rsidRDefault="0046046F" w:rsidP="0046046F">
      <w:pPr>
        <w:pStyle w:val="Listado"/>
        <w:numPr>
          <w:ilvl w:val="0"/>
          <w:numId w:val="0"/>
        </w:numPr>
        <w:ind w:left="397"/>
        <w:rPr>
          <w:rFonts w:cs="Open Sans"/>
        </w:rPr>
      </w:pPr>
    </w:p>
    <w:p w:rsidR="00347ABE" w:rsidRDefault="00347ABE" w:rsidP="0046046F">
      <w:pPr>
        <w:pStyle w:val="Listado"/>
        <w:numPr>
          <w:ilvl w:val="0"/>
          <w:numId w:val="0"/>
        </w:numPr>
        <w:ind w:left="397"/>
        <w:rPr>
          <w:rFonts w:cs="Open Sans"/>
        </w:rPr>
      </w:pPr>
    </w:p>
    <w:p w:rsidR="0046046F" w:rsidRPr="00EF1C57" w:rsidRDefault="0046046F" w:rsidP="00827EB7">
      <w:pPr>
        <w:pStyle w:val="TituloContenido"/>
        <w:rPr>
          <w:rFonts w:ascii="Open Sans" w:hAnsi="Open Sans" w:cs="Open Sans"/>
        </w:rPr>
      </w:pPr>
      <w:r w:rsidRPr="00EF1C57">
        <w:rPr>
          <w:rFonts w:ascii="Open Sans" w:hAnsi="Open Sans" w:cs="Open Sans"/>
        </w:rPr>
        <w:t>Contenido</w:t>
      </w:r>
    </w:p>
    <w:p w:rsidR="0046046F" w:rsidRPr="00D61343" w:rsidRDefault="00973E3A" w:rsidP="00D44F7D">
      <w:pPr>
        <w:pStyle w:val="Listanumerada"/>
      </w:pPr>
      <w:hyperlink w:anchor="u1" w:history="1">
        <w:r w:rsidR="0046046F" w:rsidRPr="00D61343">
          <w:rPr>
            <w:rStyle w:val="Hipervnculo"/>
            <w:rFonts w:cs="Open Sans"/>
            <w:color w:val="000000" w:themeColor="text1"/>
            <w:u w:val="none"/>
          </w:rPr>
          <w:t>Características del cálculo de la anualidad teórica de amortización</w:t>
        </w:r>
      </w:hyperlink>
    </w:p>
    <w:p w:rsidR="0046046F" w:rsidRPr="00D61343" w:rsidRDefault="00973E3A" w:rsidP="00827EB7">
      <w:pPr>
        <w:pStyle w:val="Listanumerada"/>
        <w:rPr>
          <w:rFonts w:cs="Open Sans"/>
          <w:color w:val="000000" w:themeColor="text1"/>
        </w:rPr>
      </w:pPr>
      <w:hyperlink w:anchor="u2" w:history="1">
        <w:r w:rsidR="0046046F" w:rsidRPr="00D61343">
          <w:rPr>
            <w:rStyle w:val="Hipervnculo"/>
            <w:rFonts w:cs="Open Sans"/>
            <w:color w:val="000000" w:themeColor="text1"/>
            <w:u w:val="none"/>
          </w:rPr>
          <w:t>¿Por qué se debe calcular la anualidad teórica?</w:t>
        </w:r>
      </w:hyperlink>
    </w:p>
    <w:p w:rsidR="0046046F" w:rsidRDefault="00973E3A" w:rsidP="00827EB7">
      <w:pPr>
        <w:pStyle w:val="Listanumerada"/>
        <w:rPr>
          <w:rFonts w:cs="Open Sans"/>
          <w:color w:val="000000" w:themeColor="text1"/>
        </w:rPr>
      </w:pPr>
      <w:hyperlink w:anchor="u3" w:history="1">
        <w:r w:rsidR="0046046F" w:rsidRPr="00D61343">
          <w:rPr>
            <w:rStyle w:val="Hipervnculo"/>
            <w:rFonts w:cs="Open Sans"/>
            <w:color w:val="000000" w:themeColor="text1"/>
            <w:u w:val="none"/>
          </w:rPr>
          <w:t>¿Qué operaciones se tienen en cuenta al calcular la anualidad?</w:t>
        </w:r>
      </w:hyperlink>
      <w:r w:rsidR="0046046F" w:rsidRPr="00D61343">
        <w:rPr>
          <w:rFonts w:cs="Open Sans"/>
          <w:color w:val="000000" w:themeColor="text1"/>
        </w:rPr>
        <w:t xml:space="preserve"> </w:t>
      </w:r>
    </w:p>
    <w:p w:rsidR="002B31DA" w:rsidRPr="008042D9" w:rsidRDefault="00973E3A" w:rsidP="002B31DA">
      <w:pPr>
        <w:pStyle w:val="Listanumerada"/>
        <w:rPr>
          <w:rStyle w:val="Hipervnculo"/>
          <w:rFonts w:cs="Open Sans"/>
          <w:color w:val="auto"/>
          <w:u w:val="none"/>
        </w:rPr>
      </w:pPr>
      <w:hyperlink w:anchor="u4" w:history="1">
        <w:r w:rsidR="002B31DA" w:rsidRPr="008042D9">
          <w:rPr>
            <w:rStyle w:val="Hipervnculo"/>
            <w:rFonts w:cs="Open Sans"/>
            <w:color w:val="auto"/>
            <w:u w:val="none"/>
          </w:rPr>
          <w:t>Cálculo de la anualidad teórica.</w:t>
        </w:r>
      </w:hyperlink>
    </w:p>
    <w:p w:rsidR="0046046F" w:rsidRPr="00EF1C57" w:rsidRDefault="00973E3A" w:rsidP="00827EB7">
      <w:pPr>
        <w:pStyle w:val="Listanumerada"/>
        <w:rPr>
          <w:rFonts w:cs="Open Sans"/>
        </w:rPr>
      </w:pPr>
      <w:hyperlink w:anchor="u4" w:history="1">
        <w:r w:rsidR="0046046F" w:rsidRPr="00D61343">
          <w:rPr>
            <w:rStyle w:val="Hipervnculo"/>
            <w:rFonts w:cs="Open Sans"/>
            <w:color w:val="000000" w:themeColor="text1"/>
            <w:u w:val="none"/>
          </w:rPr>
          <w:t>Causas que modifican la anualidad</w:t>
        </w:r>
      </w:hyperlink>
      <w:r w:rsidR="0046046F" w:rsidRPr="00EF1C57">
        <w:rPr>
          <w:rFonts w:cs="Open Sans"/>
        </w:rPr>
        <w:t xml:space="preserve"> </w:t>
      </w:r>
    </w:p>
    <w:p w:rsidR="0046046F" w:rsidRPr="00EF1C57" w:rsidRDefault="0046046F" w:rsidP="0046046F">
      <w:pPr>
        <w:pStyle w:val="Listanumerada"/>
        <w:numPr>
          <w:ilvl w:val="0"/>
          <w:numId w:val="0"/>
        </w:numPr>
        <w:ind w:left="720" w:hanging="360"/>
        <w:rPr>
          <w:rFonts w:cs="Open Sans"/>
        </w:rPr>
      </w:pPr>
    </w:p>
    <w:p w:rsidR="00033FC1" w:rsidRPr="00066F8B" w:rsidRDefault="00882953" w:rsidP="0055579F">
      <w:pPr>
        <w:pStyle w:val="Ttuloprincipal"/>
        <w:numPr>
          <w:ilvl w:val="0"/>
          <w:numId w:val="32"/>
        </w:numPr>
      </w:pPr>
      <w:bookmarkStart w:id="0" w:name="u1"/>
      <w:bookmarkStart w:id="1" w:name="_GoBack"/>
      <w:bookmarkEnd w:id="1"/>
      <w:r w:rsidRPr="00066F8B">
        <w:lastRenderedPageBreak/>
        <w:t>Características del cálculo de la anualidad teórica</w:t>
      </w:r>
      <w:r w:rsidR="00066F8B" w:rsidRPr="00066F8B">
        <w:t xml:space="preserve"> </w:t>
      </w:r>
      <w:r w:rsidRPr="00066F8B">
        <w:t>de amortización</w:t>
      </w:r>
    </w:p>
    <w:bookmarkEnd w:id="0"/>
    <w:p w:rsidR="00882953" w:rsidRPr="0055579F" w:rsidRDefault="00882953" w:rsidP="005C36AD">
      <w:pPr>
        <w:pStyle w:val="Caja"/>
      </w:pPr>
      <w:r w:rsidRPr="0055579F">
        <w:t>El artículo 53 del Real Decreto Legislativo 2/2004, de 5 de marzo, por el que se aprueba el Texto Refundido de la Ley Reguladora de Haciendas Locales (en adelante, TRLRHL), determina, cuando habla del cálculo del ahorro neto para la concertación de nuevas operaciones de endeudamiento que:</w:t>
      </w:r>
    </w:p>
    <w:p w:rsidR="00882953" w:rsidRPr="0055579F" w:rsidRDefault="00882953" w:rsidP="0055579F">
      <w:pPr>
        <w:pStyle w:val="TextoNomal"/>
        <w:rPr>
          <w:rStyle w:val="nfasis"/>
        </w:rPr>
      </w:pPr>
      <w:r w:rsidRPr="0055579F">
        <w:rPr>
          <w:rStyle w:val="nfasis"/>
        </w:rPr>
        <w:t xml:space="preserve">«El </w:t>
      </w:r>
      <w:r w:rsidRPr="0055579F">
        <w:rPr>
          <w:rStyle w:val="Enfasis-subrayadoCar"/>
        </w:rPr>
        <w:t>importe de la anualidad teórica de amortización</w:t>
      </w:r>
      <w:r w:rsidRPr="0055579F">
        <w:rPr>
          <w:rStyle w:val="nfasis"/>
        </w:rPr>
        <w:t xml:space="preserve">, de cada uno de los préstamos a largo plazo concertados y de los avalados por la corporación pendientes de reembolso, así como la de la operación proyectada, se determinará en todo caso, </w:t>
      </w:r>
      <w:r w:rsidRPr="0055579F">
        <w:rPr>
          <w:rStyle w:val="Enfasis-subrayadoCar"/>
        </w:rPr>
        <w:t>en términos constantes,</w:t>
      </w:r>
      <w:r w:rsidRPr="0055579F">
        <w:rPr>
          <w:rStyle w:val="nfasis"/>
        </w:rPr>
        <w:t xml:space="preserve"> incluyendo los intereses y la cuota anual de amortización, cualquiera que sea la modalidad y condiciones de cada operación».</w:t>
      </w:r>
    </w:p>
    <w:p w:rsidR="00882953" w:rsidRPr="0055579F" w:rsidRDefault="00882953" w:rsidP="0055579F">
      <w:pPr>
        <w:pStyle w:val="TextoNomal"/>
      </w:pPr>
      <w:r w:rsidRPr="0055579F">
        <w:t xml:space="preserve">La anualidad teórica de amortización representa o se define, de forma genérica, como el </w:t>
      </w:r>
      <w:r w:rsidRPr="0055579F">
        <w:rPr>
          <w:rStyle w:val="Textoennegrita"/>
        </w:rPr>
        <w:t>compromiso de devolución de deuda anual</w:t>
      </w:r>
      <w:r w:rsidRPr="0055579F">
        <w:t>, en términos constantes, que tiene que afrontar el municipio.</w:t>
      </w:r>
    </w:p>
    <w:p w:rsidR="00882953" w:rsidRPr="0055579F" w:rsidRDefault="00882953" w:rsidP="0055579F">
      <w:pPr>
        <w:pStyle w:val="TextoNomal"/>
      </w:pPr>
      <w:r w:rsidRPr="0055579F">
        <w:t>Este cálculo no podemos realizarlo ni de forma aproximada, ni ajustado a realidad, como habitualmente se hace sumando el total del Capítulo III. Gastos financieros y el total del Capítulo IX. Pasivos financieros/amortización de deuda, ya que esta forma de calcularla puede resultar muy imprecisa.</w:t>
      </w:r>
    </w:p>
    <w:p w:rsidR="00882953" w:rsidRPr="0055579F" w:rsidRDefault="00882953" w:rsidP="0055579F">
      <w:pPr>
        <w:pStyle w:val="TextoNomal"/>
      </w:pPr>
      <w:r w:rsidRPr="0055579F">
        <w:t>Por tanto</w:t>
      </w:r>
      <w:r w:rsidRPr="0055579F">
        <w:rPr>
          <w:rStyle w:val="Enfasis-subrayadoCar"/>
        </w:rPr>
        <w:t xml:space="preserve"> la anualidad teórica no tiene por qué ser igual a la anualidad real pagada en concepto de devolución de deuda</w:t>
      </w:r>
      <w:r w:rsidRPr="0055579F">
        <w:t>.</w:t>
      </w:r>
    </w:p>
    <w:p w:rsidR="00882953" w:rsidRPr="00EF1C57" w:rsidRDefault="00882953" w:rsidP="00D44F7D">
      <w:pPr>
        <w:pStyle w:val="Listado"/>
        <w:rPr>
          <w:noProof/>
          <w:lang w:eastAsia="es-ES"/>
        </w:rPr>
      </w:pPr>
      <w:r w:rsidRPr="00EF1C57">
        <w:rPr>
          <w:noProof/>
          <w:lang w:eastAsia="es-ES"/>
        </w:rPr>
        <w:t xml:space="preserve">La anualidad teórica de amortización muestra los compromisos de devolución de deuda, </w:t>
      </w:r>
    </w:p>
    <w:p w:rsidR="00882953" w:rsidRPr="00EF1C57" w:rsidRDefault="00882953" w:rsidP="00D44F7D">
      <w:pPr>
        <w:pStyle w:val="Listado"/>
        <w:rPr>
          <w:noProof/>
          <w:lang w:eastAsia="es-ES"/>
        </w:rPr>
      </w:pPr>
      <w:r w:rsidRPr="00EF1C57">
        <w:rPr>
          <w:noProof/>
          <w:lang w:eastAsia="es-ES"/>
        </w:rPr>
        <w:t xml:space="preserve">calculados de forma constante durante toda la vida de las operaciones de préstamo, </w:t>
      </w:r>
    </w:p>
    <w:p w:rsidR="00882953" w:rsidRPr="00EF1C57" w:rsidRDefault="00882953" w:rsidP="00D44F7D">
      <w:pPr>
        <w:pStyle w:val="Listado"/>
        <w:rPr>
          <w:noProof/>
          <w:lang w:eastAsia="es-ES"/>
        </w:rPr>
      </w:pPr>
      <w:r w:rsidRPr="00EF1C57">
        <w:rPr>
          <w:noProof/>
          <w:lang w:eastAsia="es-ES"/>
        </w:rPr>
        <w:t xml:space="preserve">a los que una Entidad tiene que hacer frente en un año, </w:t>
      </w:r>
    </w:p>
    <w:p w:rsidR="00325997" w:rsidRDefault="00882953" w:rsidP="00D44F7D">
      <w:pPr>
        <w:pStyle w:val="Listado"/>
      </w:pPr>
      <w:r w:rsidRPr="00EF1C57">
        <w:rPr>
          <w:noProof/>
          <w:lang w:eastAsia="es-ES"/>
        </w:rPr>
        <w:t>para enfrentarlos al ahorro bruto generado de las operaciones corrientes del mismo horizonte temporal y obtener así el ahorro neto.</w:t>
      </w:r>
    </w:p>
    <w:p w:rsidR="00954080" w:rsidRDefault="00954080" w:rsidP="00B617DE">
      <w:pPr>
        <w:pStyle w:val="TextoGenrico"/>
        <w:spacing w:before="0" w:after="0"/>
        <w:jc w:val="both"/>
        <w:rPr>
          <w:rFonts w:cs="Open Sans"/>
        </w:rPr>
      </w:pPr>
    </w:p>
    <w:p w:rsidR="00033FC1" w:rsidRPr="00EF1C57" w:rsidRDefault="00882953" w:rsidP="0079555B">
      <w:pPr>
        <w:pStyle w:val="Caja"/>
      </w:pPr>
      <w:bookmarkStart w:id="2" w:name="u2"/>
      <w:r w:rsidRPr="00EF1C57">
        <w:t>¿Por qué se debe calcular la anualidad teórica?</w:t>
      </w:r>
    </w:p>
    <w:bookmarkEnd w:id="2"/>
    <w:p w:rsidR="00882953" w:rsidRPr="0055579F" w:rsidRDefault="00882953" w:rsidP="0055579F">
      <w:pPr>
        <w:pStyle w:val="TextoNomal"/>
      </w:pPr>
      <w:r w:rsidRPr="0055579F">
        <w:t>La determinación del cálculo de la anualidad teórica, surge en base al artículo 53.1 del TRLRHL,</w:t>
      </w:r>
      <w:r w:rsidRPr="0055579F">
        <w:rPr>
          <w:rStyle w:val="subrayadoCar"/>
        </w:rPr>
        <w:t xml:space="preserve"> cuando habla de la concertación de nuevas operaciones de crédito a largo plazo, </w:t>
      </w:r>
      <w:r w:rsidRPr="0055579F">
        <w:rPr>
          <w:rStyle w:val="subrayadoCar"/>
        </w:rPr>
        <w:lastRenderedPageBreak/>
        <w:t>estableciendo que la anualidad teórica persigue como objetivo principal determinar el compromiso de devolución de la deuda</w:t>
      </w:r>
      <w:r w:rsidRPr="0055579F">
        <w:t>, constante para cada año, de las operaciones formalizadas más la operación proyectada que se está solicitando.</w:t>
      </w:r>
    </w:p>
    <w:p w:rsidR="00882953" w:rsidRPr="0055579F" w:rsidRDefault="00882953" w:rsidP="0055579F">
      <w:pPr>
        <w:pStyle w:val="TextoNomal"/>
      </w:pPr>
      <w:r w:rsidRPr="0055579F">
        <w:t>El compromiso constante de devolución de deuda (intereses + amortización) es el que busca determinar la anualidad teórica, no teniendo en cuenta plazos de carencia o de entregas de capital parcial, para determinar con mayor rigor el compromiso de deuda que puede asumir la entidad.</w:t>
      </w:r>
    </w:p>
    <w:p w:rsidR="00882953" w:rsidRPr="0055579F" w:rsidRDefault="00882953" w:rsidP="0055579F">
      <w:pPr>
        <w:pStyle w:val="TextoNomal"/>
      </w:pPr>
      <w:r w:rsidRPr="0055579F">
        <w:t xml:space="preserve">De ahí su nombre, anualidad teórica, porque proyecta una devolución lineal y constante de amortización e intereses para todo el plazo de la operación de crédito. </w:t>
      </w:r>
    </w:p>
    <w:p w:rsidR="00140D62" w:rsidRPr="0055579F" w:rsidRDefault="00882953" w:rsidP="0055579F">
      <w:pPr>
        <w:pStyle w:val="TextoNomal"/>
      </w:pPr>
      <w:r w:rsidRPr="0055579F">
        <w:t xml:space="preserve">Sin embargo, también </w:t>
      </w:r>
      <w:r w:rsidR="00C94C39" w:rsidRPr="0055579F">
        <w:t>será necesario</w:t>
      </w:r>
      <w:r w:rsidRPr="0055579F">
        <w:t xml:space="preserve"> llevar a cabo el cálculo de la anualidad teórica </w:t>
      </w:r>
      <w:r w:rsidR="00C94C39" w:rsidRPr="0055579F">
        <w:t xml:space="preserve">en </w:t>
      </w:r>
      <w:proofErr w:type="gramStart"/>
      <w:r w:rsidR="00C94C39" w:rsidRPr="0055579F">
        <w:t>caso</w:t>
      </w:r>
      <w:proofErr w:type="gramEnd"/>
      <w:r w:rsidR="00C94C39" w:rsidRPr="0055579F">
        <w:t xml:space="preserve"> de evaluar </w:t>
      </w:r>
      <w:r w:rsidRPr="0055579F">
        <w:t xml:space="preserve">el ahorro neto con la liquidación de los presupuestos, </w:t>
      </w:r>
      <w:r w:rsidR="00C94C39" w:rsidRPr="0055579F">
        <w:t>ya que</w:t>
      </w:r>
      <w:r w:rsidRPr="0055579F">
        <w:t xml:space="preserve"> supone una variable más </w:t>
      </w:r>
      <w:r w:rsidR="00C94C39" w:rsidRPr="0055579F">
        <w:t>a</w:t>
      </w:r>
      <w:r w:rsidRPr="0055579F">
        <w:t xml:space="preserve"> estudiar </w:t>
      </w:r>
      <w:r w:rsidR="00C94C39" w:rsidRPr="0055579F">
        <w:t xml:space="preserve">con el fin de obtener </w:t>
      </w:r>
      <w:r w:rsidRPr="0055579F">
        <w:t xml:space="preserve">la imagen fiel de la Entidad </w:t>
      </w:r>
      <w:r w:rsidR="00C94C39" w:rsidRPr="0055579F">
        <w:t>d</w:t>
      </w:r>
      <w:r w:rsidRPr="0055579F">
        <w:t xml:space="preserve">el ejercicio económico y determinar su situación al </w:t>
      </w:r>
      <w:r w:rsidR="00C94C39" w:rsidRPr="0055579F">
        <w:t>cierre del ejercicio</w:t>
      </w:r>
      <w:r w:rsidRPr="0055579F">
        <w:t>.</w:t>
      </w:r>
    </w:p>
    <w:p w:rsidR="00033FC1" w:rsidRPr="00D61343" w:rsidRDefault="005F61FC" w:rsidP="0055579F">
      <w:pPr>
        <w:pStyle w:val="Ttuloprincipal"/>
        <w:numPr>
          <w:ilvl w:val="0"/>
          <w:numId w:val="32"/>
        </w:numPr>
        <w:spacing w:before="480" w:after="360"/>
        <w:rPr>
          <w:rFonts w:cs="Open Sans Light"/>
        </w:rPr>
      </w:pPr>
      <w:bookmarkStart w:id="3" w:name="u3"/>
      <w:r w:rsidRPr="00D61343">
        <w:rPr>
          <w:rFonts w:cs="Open Sans Light"/>
        </w:rPr>
        <w:t xml:space="preserve">¿Qué operaciones se tienen en </w:t>
      </w:r>
      <w:r w:rsidR="00140D62" w:rsidRPr="00D61343">
        <w:rPr>
          <w:rFonts w:cs="Open Sans Light"/>
        </w:rPr>
        <w:t>cuenta al calcular la anualidad?</w:t>
      </w:r>
    </w:p>
    <w:bookmarkEnd w:id="3"/>
    <w:p w:rsidR="005F61FC" w:rsidRPr="0055579F" w:rsidRDefault="005F61FC" w:rsidP="0055579F">
      <w:pPr>
        <w:pStyle w:val="TextoNomal"/>
      </w:pPr>
      <w:r w:rsidRPr="0055579F">
        <w:t xml:space="preserve">Cuando hablamos de operaciones que computan en el cálculo de la anualidad teórica, debemos tener en cuenta que </w:t>
      </w:r>
      <w:r w:rsidRPr="00BF4D19">
        <w:rPr>
          <w:rStyle w:val="subrayadoCar"/>
        </w:rPr>
        <w:t>no todas las operaciones de endeudamiento que tenga formalizadas el municipio van a tomar parte en el cálculo de la misma</w:t>
      </w:r>
      <w:r w:rsidRPr="0055579F">
        <w:t>.</w:t>
      </w:r>
    </w:p>
    <w:p w:rsidR="00325997" w:rsidRPr="0055579F" w:rsidRDefault="005F61FC" w:rsidP="0055579F">
      <w:pPr>
        <w:pStyle w:val="TextoNomal"/>
      </w:pPr>
      <w:r w:rsidRPr="0055579F">
        <w:t>Aunque, inicialmente y para la determinación del ahorro neto, el artículo 53.1, segundo párrafo del TRLRHL, se refiere de forma general al endeudamiento de la entidad local como «…el importe de una anualidad teórica de la operación proyectada y de cada uno de los préstamos y empréstitos propios y avalados a terceros pendiente de reembolso…», veremos que luego existen excepciones significativas.</w:t>
      </w:r>
    </w:p>
    <w:p w:rsidR="005F61FC" w:rsidRPr="0055579F" w:rsidRDefault="005F61FC" w:rsidP="0055579F">
      <w:pPr>
        <w:pStyle w:val="TextoNomal"/>
      </w:pPr>
      <w:r w:rsidRPr="0055579F">
        <w:t>Del artículo 53.1, tercer párrafo del TRLRHL, se deducen algunos aspectos que deben considerarse para efectuar su cálculo y determinar qué tipo de operaciones hay que incluir:</w:t>
      </w:r>
    </w:p>
    <w:p w:rsidR="005F61FC" w:rsidRPr="00BF4D19" w:rsidRDefault="005F61FC" w:rsidP="00BF4D19">
      <w:pPr>
        <w:pStyle w:val="Listado"/>
      </w:pPr>
      <w:r w:rsidRPr="00BF4D19">
        <w:t>se calcula una anualidad teórica, lo que nos da idea de que no hay que pensar en una correspondencia exacta entre el cálculo y la realidad.</w:t>
      </w:r>
    </w:p>
    <w:p w:rsidR="005F61FC" w:rsidRPr="00BF4D19" w:rsidRDefault="005F61FC" w:rsidP="00BF4D19">
      <w:pPr>
        <w:pStyle w:val="Listado"/>
      </w:pPr>
      <w:r w:rsidRPr="00BF4D19">
        <w:t>de cada operación se calculará su anualidad teórica de amortización.</w:t>
      </w:r>
    </w:p>
    <w:p w:rsidR="005F61FC" w:rsidRPr="00BF4D19" w:rsidRDefault="005F61FC" w:rsidP="00BF4D19">
      <w:pPr>
        <w:pStyle w:val="Listado"/>
      </w:pPr>
      <w:r w:rsidRPr="00BF4D19">
        <w:t>los préstamos a largo plazo, tanto los concertados por la entidad local como los avalados por la corporación, pendientes de reembolso, y la operación proyectada se determinarán en términos constantes incluyendo intereses y cuota anual de amortización, cualquiera que sea la modalidad y condiciones de cada operación.</w:t>
      </w:r>
    </w:p>
    <w:p w:rsidR="0011300E" w:rsidRPr="00BF4D19" w:rsidRDefault="005F61FC" w:rsidP="00BF4D19">
      <w:pPr>
        <w:pStyle w:val="Listado"/>
      </w:pPr>
      <w:r w:rsidRPr="00BF4D19">
        <w:rPr>
          <w:rStyle w:val="subrayadoCar"/>
        </w:rPr>
        <w:lastRenderedPageBreak/>
        <w:t>no se incluirán las operaciones de crédito garantizadas con hipotecas</w:t>
      </w:r>
      <w:r w:rsidRPr="00BF4D19">
        <w:t xml:space="preserve"> sobre bienes inmuebles, en proporción a la parte del préstamo afectado por dicha garantía.</w:t>
      </w:r>
    </w:p>
    <w:p w:rsidR="00F40B08" w:rsidRPr="00EF1C57" w:rsidRDefault="00F40B08" w:rsidP="00140D62">
      <w:pPr>
        <w:pStyle w:val="Caja"/>
        <w:spacing w:line="276" w:lineRule="auto"/>
        <w:rPr>
          <w:rFonts w:cs="Open Sans"/>
        </w:rPr>
      </w:pPr>
      <w:r w:rsidRPr="00EF1C57">
        <w:rPr>
          <w:rFonts w:cs="Open Sans"/>
        </w:rPr>
        <w:t>Para profundizar en cada una de las operaciones que inciden en el cálculo de la anualidad teórica, le recomendamos que consulte la Unidad 2 de Formación sobre el cálculo de la anualidad teórica, donde se desarrolla la incidencia de las operaciones que determinan dicho cálculo.</w:t>
      </w:r>
    </w:p>
    <w:p w:rsidR="00F40B08" w:rsidRPr="00EF1C57" w:rsidRDefault="00F40B08" w:rsidP="00140D62">
      <w:pPr>
        <w:pStyle w:val="TextoGenrico"/>
        <w:spacing w:before="600" w:after="360"/>
        <w:jc w:val="both"/>
        <w:rPr>
          <w:rFonts w:cs="Open Sans"/>
        </w:rPr>
      </w:pPr>
      <w:r w:rsidRPr="00EF1C57">
        <w:rPr>
          <w:rFonts w:cs="Open Sans"/>
        </w:rPr>
        <w:t xml:space="preserve">A continuación </w:t>
      </w:r>
      <w:r w:rsidR="00C94C39">
        <w:rPr>
          <w:rFonts w:cs="Open Sans"/>
        </w:rPr>
        <w:t xml:space="preserve">se presenta un </w:t>
      </w:r>
      <w:r w:rsidRPr="00EF1C57">
        <w:rPr>
          <w:rFonts w:cs="Open Sans"/>
        </w:rPr>
        <w:t xml:space="preserve">resumen de las operaciones que computan </w:t>
      </w:r>
      <w:r w:rsidR="00C94C39">
        <w:rPr>
          <w:rFonts w:cs="Open Sans"/>
        </w:rPr>
        <w:t>para el cálculo de la anualidad teórica</w:t>
      </w:r>
      <w:r w:rsidR="002B31DA">
        <w:rPr>
          <w:rFonts w:cs="Open Sans"/>
        </w:rPr>
        <w:t>:</w:t>
      </w:r>
    </w:p>
    <w:p w:rsidR="00D82B0B" w:rsidRPr="00EF1C57" w:rsidRDefault="00F40B08" w:rsidP="00140D62">
      <w:pPr>
        <w:pStyle w:val="TextoGenrico"/>
        <w:jc w:val="center"/>
        <w:rPr>
          <w:rFonts w:cs="Open Sans"/>
        </w:rPr>
      </w:pPr>
      <w:r w:rsidRPr="00EF1C57">
        <w:rPr>
          <w:rFonts w:cs="Open Sans"/>
          <w:noProof/>
          <w:lang w:eastAsia="es-ES"/>
        </w:rPr>
        <w:drawing>
          <wp:inline distT="0" distB="0" distL="0" distR="0">
            <wp:extent cx="5050155" cy="13608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0155" cy="1360805"/>
                    </a:xfrm>
                    <a:prstGeom prst="rect">
                      <a:avLst/>
                    </a:prstGeom>
                    <a:noFill/>
                    <a:ln>
                      <a:noFill/>
                    </a:ln>
                  </pic:spPr>
                </pic:pic>
              </a:graphicData>
            </a:graphic>
          </wp:inline>
        </w:drawing>
      </w:r>
    </w:p>
    <w:p w:rsidR="00671826" w:rsidRPr="00EF1C57" w:rsidRDefault="00671826" w:rsidP="00140D62">
      <w:pPr>
        <w:pStyle w:val="Ejemplo2"/>
        <w:rPr>
          <w:rFonts w:ascii="Open Sans" w:hAnsi="Open Sans" w:cs="Open Sans"/>
        </w:rPr>
      </w:pPr>
    </w:p>
    <w:p w:rsidR="00A247A1" w:rsidRPr="00D93184" w:rsidRDefault="00A247A1" w:rsidP="0055579F">
      <w:pPr>
        <w:pStyle w:val="Ttuloprincipal"/>
        <w:numPr>
          <w:ilvl w:val="0"/>
          <w:numId w:val="32"/>
        </w:numPr>
        <w:jc w:val="both"/>
      </w:pPr>
      <w:bookmarkStart w:id="4" w:name="u4"/>
      <w:r>
        <w:t>Cálculo de la anualidad teórica</w:t>
      </w:r>
      <w:r w:rsidRPr="00D93184">
        <w:t>.</w:t>
      </w:r>
    </w:p>
    <w:p w:rsidR="00A247A1" w:rsidRPr="00BF4D19" w:rsidRDefault="00A247A1" w:rsidP="00BF4D19">
      <w:pPr>
        <w:pStyle w:val="TextoNomal"/>
      </w:pPr>
      <w:r w:rsidRPr="00BF4D19">
        <w:rPr>
          <w:rStyle w:val="nfasis"/>
        </w:rPr>
        <w:t xml:space="preserve"> «La anualidad teórica de amortización comprensiva de los intereses y cuota de amortización se obtendrá de la suma algebraica de las anualidades teóricas de cada uno de los préstamos concertados y avalados a largo plazo pendientes de reembolso, estén o no dispuestos, incluida la operación u operaciones proyectadas y excluidas las operaciones de crédito garantizadas con hipoteca sobre bienes inmuebles, en proporción a la parte de préstamo afectado por dicha garantía, calculada en términos constantes»</w:t>
      </w:r>
      <w:r w:rsidRPr="00BF4D19">
        <w:t>.</w:t>
      </w:r>
    </w:p>
    <w:p w:rsidR="00A247A1" w:rsidRPr="00BF4D19" w:rsidRDefault="00A247A1" w:rsidP="00BF4D19">
      <w:pPr>
        <w:pStyle w:val="TextoNomal"/>
      </w:pPr>
      <w:r w:rsidRPr="00BF4D19">
        <w:t xml:space="preserve">La </w:t>
      </w:r>
      <w:hyperlink r:id="rId10" w:tgtFrame="_blank" w:history="1">
        <w:r w:rsidRPr="00BF4D19">
          <w:rPr>
            <w:rStyle w:val="Hipervnculo"/>
          </w:rPr>
          <w:t>Guía para la tramitación y resolución de los expedientes de solicitud de autorización de endeudamiento</w:t>
        </w:r>
      </w:hyperlink>
      <w:r w:rsidR="00990AA4" w:rsidRPr="00BF4D19">
        <w:t xml:space="preserve"> </w:t>
      </w:r>
      <w:r w:rsidRPr="00BF4D19">
        <w:t xml:space="preserve">competencia de la Secretaría General de Coordinación Autonómica y Local, nos indica que el tipo de interés a considerar para el cálculo es la T.A.E., que comprende el coste total, incluyendo comisiones e intereses de la operación. </w:t>
      </w:r>
    </w:p>
    <w:p w:rsidR="00A247A1" w:rsidRDefault="00A247A1" w:rsidP="00BF4D19">
      <w:pPr>
        <w:pStyle w:val="TextoNomal"/>
      </w:pPr>
      <w:r w:rsidRPr="00BF4D19">
        <w:t>Esta consideración es importante porque habitualmente se puede considerar por error el tipo de interés nominal.</w:t>
      </w:r>
    </w:p>
    <w:p w:rsidR="00B617DE" w:rsidRPr="00BF4D19" w:rsidRDefault="00B617DE" w:rsidP="00BF4D19">
      <w:pPr>
        <w:pStyle w:val="TextoNomal"/>
      </w:pPr>
    </w:p>
    <w:p w:rsidR="00A247A1" w:rsidRPr="00BF4D19" w:rsidRDefault="00A247A1" w:rsidP="00BF4D19">
      <w:pPr>
        <w:pStyle w:val="Caja"/>
      </w:pPr>
      <w:r w:rsidRPr="00BF4D19">
        <w:lastRenderedPageBreak/>
        <w:t xml:space="preserve">En el caso de operaciones proyectadas, es decir, aquellas que todavía no se han formalizado y de las que por tanto, no se conoce aún su TAE, para el cálculo de la anualidad teórica se tomará el Coste Total Máximo de la operación, calculado de acuerdo a la Resolución de 31 de julio de 2015, de la Secretaria General del Tesoro y Política Financiera, por la que se define el principio de prudencia financiera aplicable a las operaciones de endeudamiento y derivados de las comunidades autónomas y entidades locales. </w:t>
      </w:r>
    </w:p>
    <w:p w:rsidR="00A247A1" w:rsidRPr="00BF4D19" w:rsidRDefault="00A247A1" w:rsidP="00BF4D19">
      <w:pPr>
        <w:pStyle w:val="Caja"/>
      </w:pPr>
      <w:r w:rsidRPr="00BF4D19">
        <w:t xml:space="preserve">El Coste Total Máximo es el límite del coste financiero que puede alcanzar cualquier operación de endeudamiento que una Entidad Local pretenda concertar, entendido como la suma de los intereses y los gastos y </w:t>
      </w:r>
      <w:proofErr w:type="gramStart"/>
      <w:r w:rsidRPr="00BF4D19">
        <w:t>comisiones aplicables y calculado</w:t>
      </w:r>
      <w:proofErr w:type="gramEnd"/>
      <w:r w:rsidRPr="00BF4D19">
        <w:t xml:space="preserve"> conforme a la Resolución de 31 de julio de 2015 de la Secretaria General del Tesoro y Política Financiera.</w:t>
      </w:r>
    </w:p>
    <w:p w:rsidR="00A247A1" w:rsidRPr="00BF4D19" w:rsidRDefault="00A247A1" w:rsidP="00BF4D19">
      <w:pPr>
        <w:pStyle w:val="TextoNomal"/>
      </w:pPr>
      <w:r w:rsidRPr="00BF4D19">
        <w:t>Para calcular la anualidad de cada operación de préstamo y con el objetivo de obtener una cuota anual constante durante todo el periodo aplicaremos el Sistema Francés de amortización.</w:t>
      </w:r>
    </w:p>
    <w:p w:rsidR="00A247A1" w:rsidRPr="00BF4D19" w:rsidRDefault="00A247A1" w:rsidP="00BF4D19">
      <w:pPr>
        <w:pStyle w:val="TextoNomal"/>
      </w:pPr>
      <w:r w:rsidRPr="00BF4D19">
        <w:t>CUOTA CONSTANTE = amortización + intereses.</w:t>
      </w:r>
    </w:p>
    <w:p w:rsidR="00A247A1" w:rsidRDefault="00A247A1" w:rsidP="00BF4D19">
      <w:pPr>
        <w:pStyle w:val="TextoNomal"/>
      </w:pPr>
      <w:r w:rsidRPr="00BF4D19">
        <w:rPr>
          <w:noProof/>
          <w:lang w:eastAsia="es-ES"/>
        </w:rPr>
        <w:drawing>
          <wp:anchor distT="0" distB="0" distL="114300" distR="114300" simplePos="0" relativeHeight="251649536" behindDoc="0" locked="0" layoutInCell="1" allowOverlap="1">
            <wp:simplePos x="0" y="0"/>
            <wp:positionH relativeFrom="column">
              <wp:posOffset>1745615</wp:posOffset>
            </wp:positionH>
            <wp:positionV relativeFrom="paragraph">
              <wp:posOffset>532765</wp:posOffset>
            </wp:positionV>
            <wp:extent cx="1429385" cy="722630"/>
            <wp:effectExtent l="19050" t="0" r="0" b="0"/>
            <wp:wrapTopAndBottom/>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 cstate="print"/>
                    <a:srcRect l="14011" t="39510" r="66115" b="42658"/>
                    <a:stretch>
                      <a:fillRect/>
                    </a:stretch>
                  </pic:blipFill>
                  <pic:spPr bwMode="auto">
                    <a:xfrm>
                      <a:off x="0" y="0"/>
                      <a:ext cx="1429385" cy="722630"/>
                    </a:xfrm>
                    <a:prstGeom prst="rect">
                      <a:avLst/>
                    </a:prstGeom>
                    <a:noFill/>
                    <a:ln w="9525">
                      <a:noFill/>
                      <a:miter lim="800000"/>
                      <a:headEnd/>
                      <a:tailEnd/>
                    </a:ln>
                  </pic:spPr>
                </pic:pic>
              </a:graphicData>
            </a:graphic>
          </wp:anchor>
        </w:drawing>
      </w:r>
      <w:r w:rsidRPr="00BF4D19">
        <w:t>Utilizamos la siguiente fórmula, siempre que el tipo de interés sea mayor que cero:</w:t>
      </w:r>
      <w:r w:rsidRPr="00AD3AEE">
        <w:t xml:space="preserve"> </w:t>
      </w:r>
    </w:p>
    <w:p w:rsidR="00A247A1" w:rsidRPr="000E187C" w:rsidRDefault="00A247A1" w:rsidP="00A247A1">
      <w:pPr>
        <w:pStyle w:val="TextoNomal"/>
        <w:rPr>
          <w:rFonts w:cs="Open Sans"/>
          <w:color w:val="auto"/>
        </w:rPr>
      </w:pPr>
    </w:p>
    <w:p w:rsidR="00A247A1" w:rsidRPr="00BF4D19" w:rsidRDefault="00A247A1" w:rsidP="00BF4D19">
      <w:pPr>
        <w:pStyle w:val="Caja"/>
      </w:pPr>
      <w:r w:rsidRPr="00BF4D19">
        <w:t>Siendo:</w:t>
      </w:r>
    </w:p>
    <w:p w:rsidR="00A247A1" w:rsidRPr="00BF4D19" w:rsidRDefault="00A247A1" w:rsidP="00BF4D19">
      <w:pPr>
        <w:pStyle w:val="Caja"/>
        <w:rPr>
          <w:rStyle w:val="nfasis"/>
        </w:rPr>
      </w:pPr>
      <w:proofErr w:type="gramStart"/>
      <w:r w:rsidRPr="00BF4D19">
        <w:rPr>
          <w:rStyle w:val="nfasis"/>
        </w:rPr>
        <w:t>a</w:t>
      </w:r>
      <w:proofErr w:type="gramEnd"/>
      <w:r w:rsidRPr="00BF4D19">
        <w:rPr>
          <w:rStyle w:val="nfasis"/>
        </w:rPr>
        <w:t>: la anualidad</w:t>
      </w:r>
    </w:p>
    <w:p w:rsidR="00A247A1" w:rsidRPr="00BF4D19" w:rsidRDefault="00A247A1" w:rsidP="00BF4D19">
      <w:pPr>
        <w:pStyle w:val="Caja"/>
        <w:rPr>
          <w:rStyle w:val="nfasis"/>
        </w:rPr>
      </w:pPr>
      <w:r w:rsidRPr="00BF4D19">
        <w:rPr>
          <w:rStyle w:val="nfasis"/>
        </w:rPr>
        <w:t>C0: capital inicial o principal, se halle o no dispuesto a la fecha en que se efectúa el cálculo, debiendo constar ésta en el expediente.</w:t>
      </w:r>
    </w:p>
    <w:p w:rsidR="00A247A1" w:rsidRPr="00BF4D19" w:rsidRDefault="00A247A1" w:rsidP="00BF4D19">
      <w:pPr>
        <w:pStyle w:val="Caja"/>
        <w:rPr>
          <w:rStyle w:val="nfasis"/>
        </w:rPr>
      </w:pPr>
      <w:proofErr w:type="gramStart"/>
      <w:r w:rsidRPr="00BF4D19">
        <w:rPr>
          <w:rStyle w:val="nfasis"/>
        </w:rPr>
        <w:t>i</w:t>
      </w:r>
      <w:proofErr w:type="gramEnd"/>
      <w:r w:rsidRPr="00BF4D19">
        <w:rPr>
          <w:rStyle w:val="nfasis"/>
        </w:rPr>
        <w:t xml:space="preserve">: el tipo de interés efectivo anual.  </w:t>
      </w:r>
    </w:p>
    <w:p w:rsidR="00A247A1" w:rsidRPr="00BF4D19" w:rsidRDefault="00A247A1" w:rsidP="00BF4D19">
      <w:pPr>
        <w:pStyle w:val="Caja"/>
        <w:rPr>
          <w:rStyle w:val="nfasis"/>
        </w:rPr>
      </w:pPr>
      <w:r w:rsidRPr="00BF4D19">
        <w:rPr>
          <w:rStyle w:val="nfasis"/>
        </w:rPr>
        <w:t>Tasa anual equivalente (TAE) que incluya el coste financiero total (intereses y comisiones asociados a la operación), expresado en tanto por uno. Para la operación proyectada se utilizará la TAE prevista a partir de la formalización, según oferta bancaria y para el resto de operaciones se empleará la TAE que se indica en el extracto bancario de la última liquidación de intereses (CTM en el caso de las operaciones proyectadas, aún no formalizadas).</w:t>
      </w:r>
    </w:p>
    <w:p w:rsidR="00A247A1" w:rsidRPr="00BF4D19" w:rsidRDefault="00A247A1" w:rsidP="00BF4D19">
      <w:pPr>
        <w:pStyle w:val="Caja"/>
        <w:rPr>
          <w:rStyle w:val="nfasis"/>
        </w:rPr>
      </w:pPr>
      <w:r w:rsidRPr="00BF4D19">
        <w:rPr>
          <w:rStyle w:val="nfasis"/>
        </w:rPr>
        <w:lastRenderedPageBreak/>
        <w:t>p: número de períodos de amortización al año.</w:t>
      </w:r>
    </w:p>
    <w:p w:rsidR="00A247A1" w:rsidRPr="00BF4D19" w:rsidRDefault="00A247A1" w:rsidP="00BF4D19">
      <w:pPr>
        <w:pStyle w:val="Caja"/>
        <w:rPr>
          <w:rStyle w:val="nfasis"/>
        </w:rPr>
      </w:pPr>
      <w:proofErr w:type="gramStart"/>
      <w:r w:rsidRPr="00BF4D19">
        <w:rPr>
          <w:rStyle w:val="nfasis"/>
        </w:rPr>
        <w:t>n</w:t>
      </w:r>
      <w:proofErr w:type="gramEnd"/>
      <w:r w:rsidRPr="00BF4D19">
        <w:rPr>
          <w:rStyle w:val="nfasis"/>
        </w:rPr>
        <w:t>: número años hasta el vencimiento, incluidos, en su caso, los años de carencia.</w:t>
      </w:r>
    </w:p>
    <w:p w:rsidR="00A247A1" w:rsidRPr="00BF4D19" w:rsidRDefault="00A247A1" w:rsidP="00BF4D19">
      <w:pPr>
        <w:pStyle w:val="Ejemplo"/>
      </w:pPr>
      <w:r w:rsidRPr="00BF4D19">
        <w:t>Ejemplo:</w:t>
      </w:r>
    </w:p>
    <w:p w:rsidR="00A247A1" w:rsidRPr="00BF4D19" w:rsidRDefault="00A247A1" w:rsidP="00BF4D19">
      <w:pPr>
        <w:pStyle w:val="Ejemplo"/>
      </w:pPr>
      <w:r w:rsidRPr="00BF4D19">
        <w:t>Supongamos una operación de préstamo formalizada el 15 de Junio de 2010, por importe de 1.000.000 €, a un plazo de 12 años. El tipo de interés fijado para la operación es del 2,90% fijo, se liquida anualmente y la comisión de apertura es del 1%, lo que supone una T.A.E del 3,00%. Y se amortiza anualmente.</w:t>
      </w:r>
    </w:p>
    <w:p w:rsidR="00A247A1" w:rsidRPr="00BF4D19" w:rsidRDefault="00A247A1" w:rsidP="00BF4D19">
      <w:pPr>
        <w:pStyle w:val="Ejemplo"/>
      </w:pPr>
      <w:r w:rsidRPr="00BF4D19">
        <w:rPr>
          <w:noProof/>
          <w:lang w:eastAsia="es-ES"/>
        </w:rPr>
        <w:drawing>
          <wp:anchor distT="0" distB="0" distL="114300" distR="114300" simplePos="0" relativeHeight="251661824" behindDoc="0" locked="0" layoutInCell="1" allowOverlap="1">
            <wp:simplePos x="0" y="0"/>
            <wp:positionH relativeFrom="column">
              <wp:posOffset>1714013</wp:posOffset>
            </wp:positionH>
            <wp:positionV relativeFrom="paragraph">
              <wp:posOffset>140748</wp:posOffset>
            </wp:positionV>
            <wp:extent cx="1705802" cy="871870"/>
            <wp:effectExtent l="19050" t="0" r="8698" b="0"/>
            <wp:wrapNone/>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2" cstate="print"/>
                    <a:srcRect l="6342" t="47236" r="65131" b="26872"/>
                    <a:stretch>
                      <a:fillRect/>
                    </a:stretch>
                  </pic:blipFill>
                  <pic:spPr bwMode="auto">
                    <a:xfrm>
                      <a:off x="0" y="0"/>
                      <a:ext cx="1705802" cy="871870"/>
                    </a:xfrm>
                    <a:prstGeom prst="rect">
                      <a:avLst/>
                    </a:prstGeom>
                    <a:noFill/>
                    <a:ln w="9525">
                      <a:noFill/>
                      <a:miter lim="800000"/>
                      <a:headEnd/>
                      <a:tailEnd/>
                    </a:ln>
                  </pic:spPr>
                </pic:pic>
              </a:graphicData>
            </a:graphic>
          </wp:anchor>
        </w:drawing>
      </w:r>
      <w:r w:rsidRPr="00BF4D19">
        <w:t>Obtendríamos que:</w:t>
      </w:r>
    </w:p>
    <w:p w:rsidR="00A247A1" w:rsidRPr="00E10572" w:rsidRDefault="00A247A1" w:rsidP="00A247A1">
      <w:pPr>
        <w:jc w:val="both"/>
      </w:pPr>
    </w:p>
    <w:p w:rsidR="00A247A1" w:rsidRDefault="00A247A1" w:rsidP="00A247A1">
      <w:pPr>
        <w:pStyle w:val="Ejemplo"/>
        <w:jc w:val="both"/>
      </w:pPr>
    </w:p>
    <w:p w:rsidR="00A247A1" w:rsidRDefault="00A247A1" w:rsidP="00A247A1">
      <w:pPr>
        <w:pStyle w:val="Ejemplo"/>
        <w:jc w:val="both"/>
      </w:pPr>
      <w:r>
        <w:rPr>
          <w:noProof/>
          <w:lang w:eastAsia="es-ES"/>
        </w:rPr>
        <w:drawing>
          <wp:anchor distT="0" distB="0" distL="114300" distR="114300" simplePos="0" relativeHeight="251656704" behindDoc="0" locked="0" layoutInCell="1" allowOverlap="1">
            <wp:simplePos x="0" y="0"/>
            <wp:positionH relativeFrom="column">
              <wp:posOffset>576329</wp:posOffset>
            </wp:positionH>
            <wp:positionV relativeFrom="paragraph">
              <wp:posOffset>-3736</wp:posOffset>
            </wp:positionV>
            <wp:extent cx="4308401" cy="1020726"/>
            <wp:effectExtent l="19050" t="0" r="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 cstate="print"/>
                    <a:srcRect l="9295" t="26959" r="63360" b="61837"/>
                    <a:stretch>
                      <a:fillRect/>
                    </a:stretch>
                  </pic:blipFill>
                  <pic:spPr bwMode="auto">
                    <a:xfrm>
                      <a:off x="0" y="0"/>
                      <a:ext cx="4308401" cy="1020726"/>
                    </a:xfrm>
                    <a:prstGeom prst="rect">
                      <a:avLst/>
                    </a:prstGeom>
                    <a:noFill/>
                    <a:ln w="9525">
                      <a:noFill/>
                      <a:miter lim="800000"/>
                      <a:headEnd/>
                      <a:tailEnd/>
                    </a:ln>
                  </pic:spPr>
                </pic:pic>
              </a:graphicData>
            </a:graphic>
          </wp:anchor>
        </w:drawing>
      </w:r>
    </w:p>
    <w:p w:rsidR="00A247A1" w:rsidRDefault="00A247A1" w:rsidP="00A247A1">
      <w:pPr>
        <w:pStyle w:val="Ejemplo"/>
        <w:jc w:val="both"/>
      </w:pPr>
    </w:p>
    <w:p w:rsidR="00A247A1" w:rsidRDefault="00A247A1" w:rsidP="00A247A1">
      <w:pPr>
        <w:pStyle w:val="Ejemplo"/>
        <w:jc w:val="both"/>
      </w:pPr>
    </w:p>
    <w:p w:rsidR="00066F8B" w:rsidRPr="00BF4D19" w:rsidRDefault="00A247A1" w:rsidP="00BF4D19">
      <w:pPr>
        <w:pStyle w:val="Ejemplo"/>
      </w:pPr>
      <w:r w:rsidRPr="00BF4D19">
        <w:t>Cuota anual a pagar constante es igual a 100.468 €.</w:t>
      </w:r>
    </w:p>
    <w:p w:rsidR="00A247A1" w:rsidRPr="00BF4D19" w:rsidRDefault="00A247A1" w:rsidP="00BF4D19">
      <w:pPr>
        <w:pStyle w:val="Ejemplo"/>
      </w:pPr>
      <w:r w:rsidRPr="00BF4D19">
        <w:t>La anualidad teórica de la operación para los 12 años será de 100.468 €.</w:t>
      </w:r>
    </w:p>
    <w:p w:rsidR="00A247A1" w:rsidRPr="00BF4D19" w:rsidRDefault="00A247A1" w:rsidP="00BF4D19">
      <w:pPr>
        <w:pStyle w:val="TextoNomal"/>
      </w:pPr>
      <w:r w:rsidRPr="00BF4D19">
        <w:t>En la actualidad una operación de préstamo que haya contratado un municipio puede regirse contractualmente por cualquiera de los sistemas de amortización que hemos descrito anteriormente.</w:t>
      </w:r>
    </w:p>
    <w:p w:rsidR="00A247A1" w:rsidRPr="00BF4D19" w:rsidRDefault="00A247A1" w:rsidP="00BF4D19">
      <w:pPr>
        <w:pStyle w:val="subrayado"/>
      </w:pPr>
      <w:r w:rsidRPr="00BF4D19">
        <w:t>Para el cálculo de la anualidad teórica aplicaremos exclusivamente el SISTEMA FRANCES, que nos permite obtener una CUOTA CONSTANTE de pago, para toda la vida del préstamo, comprendiendo amortización de capital más intereses.</w:t>
      </w:r>
    </w:p>
    <w:p w:rsidR="00033FC1" w:rsidRPr="00D61343" w:rsidRDefault="00D82B0B" w:rsidP="0055579F">
      <w:pPr>
        <w:pStyle w:val="Ttuloprincipal"/>
        <w:numPr>
          <w:ilvl w:val="0"/>
          <w:numId w:val="32"/>
        </w:numPr>
        <w:spacing w:before="480" w:after="720"/>
        <w:rPr>
          <w:rFonts w:cs="Open Sans Light"/>
        </w:rPr>
      </w:pPr>
      <w:r w:rsidRPr="00D61343">
        <w:rPr>
          <w:rFonts w:cs="Open Sans Light"/>
        </w:rPr>
        <w:t>Causas que modifican la anualidad teórica de amortización</w:t>
      </w:r>
      <w:bookmarkEnd w:id="4"/>
      <w:r w:rsidR="009918E6">
        <w:rPr>
          <w:rFonts w:cs="Open Sans Light"/>
        </w:rPr>
        <w:fldChar w:fldCharType="begin"/>
      </w:r>
      <w:r w:rsidR="008042D9">
        <w:instrText xml:space="preserve"> XE "</w:instrText>
      </w:r>
      <w:r w:rsidR="008042D9" w:rsidRPr="0086372A">
        <w:rPr>
          <w:rFonts w:cs="Open Sans Light"/>
        </w:rPr>
        <w:instrText>Causas que modifican la anualidad teórica de amortización</w:instrText>
      </w:r>
      <w:r w:rsidR="008042D9">
        <w:instrText xml:space="preserve">" </w:instrText>
      </w:r>
      <w:r w:rsidR="009918E6">
        <w:rPr>
          <w:rFonts w:cs="Open Sans Light"/>
        </w:rPr>
        <w:fldChar w:fldCharType="end"/>
      </w:r>
    </w:p>
    <w:p w:rsidR="00D82B0B" w:rsidRPr="00BF4D19" w:rsidRDefault="00941E6C" w:rsidP="00BF4D19">
      <w:pPr>
        <w:pStyle w:val="Tituloicono"/>
      </w:pPr>
      <w:r w:rsidRPr="00BF4D19">
        <w:t>CAMBIOS EN LOS TIPOS DE INTERÉS:</w:t>
      </w:r>
    </w:p>
    <w:p w:rsidR="00941E6C" w:rsidRPr="00F850D2" w:rsidRDefault="00941E6C" w:rsidP="00F850D2">
      <w:pPr>
        <w:pStyle w:val="TextoGenrico"/>
      </w:pPr>
      <w:r w:rsidRPr="00F850D2">
        <w:lastRenderedPageBreak/>
        <w:t>Una de las cuestiones que pueden surgir a la hora de calcular las anualidades teóricas de las operaciones de endeudamiento, es el tipo de interés aplicable a la operación, afectando dicho extremo al cálculo de los intereses o coste financiero asociado a las operaciones concertadas.</w:t>
      </w:r>
    </w:p>
    <w:p w:rsidR="00140D62" w:rsidRPr="00F850D2" w:rsidRDefault="00941E6C" w:rsidP="00F850D2">
      <w:pPr>
        <w:pStyle w:val="TextoGenrico"/>
      </w:pPr>
      <w:r w:rsidRPr="00F850D2">
        <w:t>Variaciones en el tipo de interés pueden modificar de forma importante el cálculo de la anualidad teórica al igual que el propio compromiso real de pago. Lo que hay que tener muy presente es que estas variaciones pueden ser a la baja o al alza.</w:t>
      </w:r>
    </w:p>
    <w:p w:rsidR="00941E6C" w:rsidRPr="00BF4D19" w:rsidRDefault="00941E6C" w:rsidP="00BF4D19">
      <w:pPr>
        <w:pStyle w:val="Tituloicono"/>
      </w:pPr>
      <w:r w:rsidRPr="00BF4D19">
        <w:t>NOVACIONES Y MODIFICACIONES DE LAS OPERACIONES CONCERTADAS:</w:t>
      </w:r>
    </w:p>
    <w:p w:rsidR="00941E6C" w:rsidRPr="00F850D2" w:rsidRDefault="00941E6C" w:rsidP="00F850D2">
      <w:pPr>
        <w:pStyle w:val="TextoGenrico"/>
      </w:pPr>
      <w:r w:rsidRPr="00F850D2">
        <w:t>Los créditos a largo plazo vigentes pueden renegociarse, pero sin aumentar su importe. Sólo se pueden refinanciar para conseguir unas condiciones que, en términos de valor actual neto, resulten beneficiosas para la entidad.</w:t>
      </w:r>
    </w:p>
    <w:p w:rsidR="00941E6C" w:rsidRPr="00F850D2" w:rsidRDefault="00941E6C" w:rsidP="00F850D2">
      <w:pPr>
        <w:pStyle w:val="TextoGenrico"/>
      </w:pPr>
      <w:r w:rsidRPr="00F850D2">
        <w:t>Las condiciones del préstamo en cuanto a plazos y/o tipos de interés se renegocian, por lo que las anualidades se verán modificadas y habrá que proceder a recalcularlas con los nuevos términos de las negociaciones.</w:t>
      </w:r>
    </w:p>
    <w:p w:rsidR="00941E6C" w:rsidRPr="00F850D2" w:rsidRDefault="00941E6C" w:rsidP="00F850D2">
      <w:pPr>
        <w:pStyle w:val="TextoGenrico"/>
      </w:pPr>
      <w:r w:rsidRPr="00F850D2">
        <w:t>El cálculo debe hacerse teniendo únicamente en cuenta el nuevo préstamo a concertar, por el importe total y teniendo en cuenta las nuevas condiciones pactadas.</w:t>
      </w:r>
    </w:p>
    <w:p w:rsidR="00941E6C" w:rsidRPr="00EF1C57" w:rsidRDefault="00941E6C" w:rsidP="00BF4D19">
      <w:pPr>
        <w:pStyle w:val="Tituloicono"/>
      </w:pPr>
      <w:r w:rsidRPr="00EF1C57">
        <w:t>AMORTIZACIONES ANTICIPADAS DE LOS PRÉSTAMOS</w:t>
      </w:r>
    </w:p>
    <w:p w:rsidR="00941E6C" w:rsidRPr="00F850D2" w:rsidRDefault="00941E6C" w:rsidP="00F850D2">
      <w:pPr>
        <w:pStyle w:val="TextoGenrico"/>
      </w:pPr>
      <w:r w:rsidRPr="00F850D2">
        <w:t xml:space="preserve">En estos momentos la propia Ley Orgánica 2/2012, de 27 de abril, de Estabilidad Presupuestaria y Sostenibilidad Financiera,  establece que ante una situación de superávit, se dedique a reducir deuda, por el exceso de endeudamiento que tiene la administración pública, por lo que muchos municipios van a tener que </w:t>
      </w:r>
      <w:r w:rsidRPr="00F850D2">
        <w:rPr>
          <w:rStyle w:val="subrayadoCar"/>
        </w:rPr>
        <w:t>amortizar anticipadamente parte de su endeudamiento</w:t>
      </w:r>
      <w:r w:rsidRPr="00F850D2">
        <w:t>. Esta amortización anticipada puede venir por:</w:t>
      </w:r>
    </w:p>
    <w:p w:rsidR="00941E6C" w:rsidRPr="00EF1C57" w:rsidRDefault="00941E6C" w:rsidP="00140D62">
      <w:pPr>
        <w:pStyle w:val="TextoGenrico"/>
        <w:numPr>
          <w:ilvl w:val="0"/>
          <w:numId w:val="29"/>
        </w:numPr>
        <w:spacing w:before="480"/>
        <w:jc w:val="both"/>
        <w:rPr>
          <w:rFonts w:cs="Open Sans"/>
        </w:rPr>
      </w:pPr>
      <w:r w:rsidRPr="00066F8B">
        <w:rPr>
          <w:rStyle w:val="Textoennegrita"/>
        </w:rPr>
        <w:t>Reducción de plazo</w:t>
      </w:r>
      <w:r w:rsidRPr="00EF1C57">
        <w:rPr>
          <w:rFonts w:cs="Open Sans"/>
        </w:rPr>
        <w:t xml:space="preserve">: este sistema dedica el total de la amortización anticipada a </w:t>
      </w:r>
      <w:r w:rsidRPr="00EF1C57">
        <w:rPr>
          <w:rFonts w:cs="Open Sans"/>
          <w:u w:val="single"/>
        </w:rPr>
        <w:t>reducir el plazo de la operación, manteniendo el compromiso de pago o cuota anual.</w:t>
      </w:r>
      <w:r w:rsidRPr="00EF1C57">
        <w:rPr>
          <w:rFonts w:cs="Open Sans"/>
        </w:rPr>
        <w:t xml:space="preserve"> Por tanto si utilizamos este sistema para amortizar deuda </w:t>
      </w:r>
      <w:r w:rsidRPr="00EF1C57">
        <w:rPr>
          <w:rFonts w:cs="Open Sans"/>
          <w:u w:val="single"/>
        </w:rPr>
        <w:t>la anualidad teórica no se va a modificar, únicamente implicará que el préstamo se pagará en menos tiempo, pero no mejora nuestra capacidad de pago anual</w:t>
      </w:r>
      <w:r w:rsidRPr="00EF1C57">
        <w:rPr>
          <w:rFonts w:cs="Open Sans"/>
        </w:rPr>
        <w:t xml:space="preserve"> porque nuestro compromiso de c</w:t>
      </w:r>
      <w:r w:rsidR="0011300E" w:rsidRPr="00EF1C57">
        <w:rPr>
          <w:rFonts w:cs="Open Sans"/>
        </w:rPr>
        <w:t>uota anual permanece constante.</w:t>
      </w:r>
    </w:p>
    <w:p w:rsidR="00941E6C" w:rsidRPr="00EF1C57" w:rsidRDefault="00941E6C" w:rsidP="00140D62">
      <w:pPr>
        <w:pStyle w:val="TextoGenrico"/>
        <w:numPr>
          <w:ilvl w:val="0"/>
          <w:numId w:val="29"/>
        </w:numPr>
        <w:spacing w:before="480"/>
        <w:jc w:val="both"/>
        <w:rPr>
          <w:rFonts w:cs="Open Sans"/>
        </w:rPr>
      </w:pPr>
      <w:r w:rsidRPr="00066F8B">
        <w:rPr>
          <w:rStyle w:val="Textoennegrita"/>
        </w:rPr>
        <w:lastRenderedPageBreak/>
        <w:t>Reducción de cuota</w:t>
      </w:r>
      <w:r w:rsidRPr="00EF1C57">
        <w:rPr>
          <w:rFonts w:cs="Open Sans"/>
        </w:rPr>
        <w:t xml:space="preserve">: este sistema dedica el total de la </w:t>
      </w:r>
      <w:r w:rsidRPr="00EF1C57">
        <w:rPr>
          <w:rFonts w:cs="Open Sans"/>
          <w:u w:val="single"/>
        </w:rPr>
        <w:t>amortización a reducir la cuota mensual/anual de la operación, manteniendo el plazo de la misma constante</w:t>
      </w:r>
      <w:r w:rsidRPr="00EF1C57">
        <w:rPr>
          <w:rFonts w:cs="Open Sans"/>
        </w:rPr>
        <w:t xml:space="preserve"> o lo que es lo mismo el vencimiento de la operación no se modifica. Este sistema de amortización anticipada </w:t>
      </w:r>
      <w:r w:rsidRPr="00EF1C57">
        <w:rPr>
          <w:rFonts w:cs="Open Sans"/>
          <w:u w:val="single"/>
        </w:rPr>
        <w:t>modificará la anualidad teórica, ya que nuestro compromiso de pago anual se va a reducir</w:t>
      </w:r>
      <w:r w:rsidRPr="00EF1C57">
        <w:rPr>
          <w:rFonts w:cs="Open Sans"/>
        </w:rPr>
        <w:t>, mejorando nuestra capacidad de pago.</w:t>
      </w:r>
    </w:p>
    <w:p w:rsidR="00325997" w:rsidRPr="00EF1C57" w:rsidRDefault="00941E6C" w:rsidP="00140D62">
      <w:pPr>
        <w:pStyle w:val="TextoGenrico"/>
        <w:spacing w:before="120"/>
        <w:ind w:left="709"/>
        <w:jc w:val="both"/>
        <w:rPr>
          <w:rFonts w:cs="Open Sans"/>
        </w:rPr>
      </w:pPr>
      <w:r w:rsidRPr="00EF1C57">
        <w:rPr>
          <w:rFonts w:cs="Open Sans"/>
          <w:u w:val="single"/>
        </w:rPr>
        <w:t>Por tanto cuando amorticemos parcialmente una operación de forma anticipada por este sistema deberemos de recalcular la anualidad teórica</w:t>
      </w:r>
      <w:r w:rsidRPr="00EF1C57">
        <w:rPr>
          <w:rFonts w:cs="Open Sans"/>
        </w:rPr>
        <w:t xml:space="preserve"> de la misma para obtener el compromiso constante de pago partiendo del capital pendiente que tenga la operación después de haber amortizado anticipadamente y tomando como inalterables el resto de condiciones, tipo de interés y vencimiento.</w:t>
      </w:r>
    </w:p>
    <w:sectPr w:rsidR="00325997" w:rsidRPr="00EF1C57" w:rsidSect="0011300E">
      <w:headerReference w:type="default" r:id="rId14"/>
      <w:footerReference w:type="default" r:id="rId15"/>
      <w:pgSz w:w="11906" w:h="16838" w:code="9"/>
      <w:pgMar w:top="1417" w:right="1701" w:bottom="1417" w:left="1701" w:header="284" w:footer="42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E3A" w:rsidRDefault="00973E3A" w:rsidP="0043591E">
      <w:pPr>
        <w:spacing w:after="0" w:line="240" w:lineRule="auto"/>
      </w:pPr>
      <w:r>
        <w:separator/>
      </w:r>
    </w:p>
  </w:endnote>
  <w:endnote w:type="continuationSeparator" w:id="0">
    <w:p w:rsidR="00973E3A" w:rsidRDefault="00973E3A" w:rsidP="00435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 Sans Semibold">
    <w:altName w:val="DejaVu Sans Condensed"/>
    <w:panose1 w:val="020B07060308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Light">
    <w:altName w:val="Open Sans"/>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1DA" w:rsidRDefault="002B31DA">
    <w:pPr>
      <w:pStyle w:val="Piedepgina"/>
      <w:jc w:val="center"/>
    </w:pPr>
    <w:r>
      <w:rPr>
        <w:noProof/>
        <w:lang w:eastAsia="es-ES"/>
      </w:rPr>
      <w:drawing>
        <wp:anchor distT="0" distB="0" distL="114300" distR="114300" simplePos="0" relativeHeight="251667968" behindDoc="0" locked="0" layoutInCell="1" allowOverlap="1">
          <wp:simplePos x="0" y="0"/>
          <wp:positionH relativeFrom="column">
            <wp:posOffset>-746180</wp:posOffset>
          </wp:positionH>
          <wp:positionV relativeFrom="paragraph">
            <wp:posOffset>-89010</wp:posOffset>
          </wp:positionV>
          <wp:extent cx="811530" cy="24607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burillo\Downloads\1. Anualidad teórica.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1530" cy="246076"/>
                  </a:xfrm>
                  <a:prstGeom prst="rect">
                    <a:avLst/>
                  </a:prstGeom>
                  <a:noFill/>
                  <a:ln>
                    <a:noFill/>
                  </a:ln>
                </pic:spPr>
              </pic:pic>
            </a:graphicData>
          </a:graphic>
          <wp14:sizeRelV relativeFrom="margin">
            <wp14:pctHeight>0</wp14:pctHeight>
          </wp14:sizeRelV>
        </wp:anchor>
      </w:drawing>
    </w:r>
    <w:sdt>
      <w:sdtPr>
        <w:id w:val="328562778"/>
        <w:docPartObj>
          <w:docPartGallery w:val="Page Numbers (Bottom of Page)"/>
          <w:docPartUnique/>
        </w:docPartObj>
      </w:sdtPr>
      <w:sdtEndPr/>
      <w:sdtContent>
        <w:r w:rsidR="00423B6A">
          <w:fldChar w:fldCharType="begin"/>
        </w:r>
        <w:r w:rsidR="00423B6A">
          <w:instrText>PAGE   \* MERGEFORMAT</w:instrText>
        </w:r>
        <w:r w:rsidR="00423B6A">
          <w:fldChar w:fldCharType="separate"/>
        </w:r>
        <w:r w:rsidR="0079555B">
          <w:rPr>
            <w:noProof/>
          </w:rPr>
          <w:t>7</w:t>
        </w:r>
        <w:r w:rsidR="00423B6A">
          <w:rPr>
            <w:noProof/>
          </w:rPr>
          <w:fldChar w:fldCharType="end"/>
        </w:r>
      </w:sdtContent>
    </w:sdt>
  </w:p>
  <w:p w:rsidR="002B31DA" w:rsidRDefault="00794760" w:rsidP="00272FCC">
    <w:pPr>
      <w:pStyle w:val="Piedepgina"/>
      <w:tabs>
        <w:tab w:val="clear" w:pos="8504"/>
      </w:tabs>
      <w:ind w:left="-1701" w:right="-1701"/>
    </w:pPr>
    <w:r>
      <w:rPr>
        <w:noProof/>
        <w:lang w:eastAsia="es-ES"/>
      </w:rPr>
      <w:drawing>
        <wp:anchor distT="0" distB="0" distL="114300" distR="114300" simplePos="0" relativeHeight="251655680" behindDoc="0" locked="0" layoutInCell="1" allowOverlap="1">
          <wp:simplePos x="0" y="0"/>
          <wp:positionH relativeFrom="column">
            <wp:posOffset>-1032427</wp:posOffset>
          </wp:positionH>
          <wp:positionV relativeFrom="paragraph">
            <wp:posOffset>194034</wp:posOffset>
          </wp:positionV>
          <wp:extent cx="7485380" cy="232408"/>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485380" cy="23240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E3A" w:rsidRDefault="00973E3A" w:rsidP="0043591E">
      <w:pPr>
        <w:spacing w:after="0" w:line="240" w:lineRule="auto"/>
      </w:pPr>
      <w:r>
        <w:separator/>
      </w:r>
    </w:p>
  </w:footnote>
  <w:footnote w:type="continuationSeparator" w:id="0">
    <w:p w:rsidR="00973E3A" w:rsidRDefault="00973E3A" w:rsidP="004359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1336"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6804"/>
    </w:tblGrid>
    <w:tr w:rsidR="002B31DA" w:rsidRPr="00A10370" w:rsidTr="007A75AA">
      <w:tc>
        <w:tcPr>
          <w:tcW w:w="4532" w:type="dxa"/>
          <w:shd w:val="clear" w:color="auto" w:fill="auto"/>
        </w:tcPr>
        <w:p w:rsidR="002B31DA" w:rsidRPr="0079555B" w:rsidRDefault="00973E3A" w:rsidP="00325997">
          <w:pPr>
            <w:pStyle w:val="Encabezado"/>
            <w:rPr>
              <w:rFonts w:ascii="Open Sans Semibold" w:hAnsi="Open Sans Semibold" w:cs="Open Sans Semibold"/>
              <w:color w:val="FF6C00"/>
              <w:sz w:val="16"/>
              <w:szCs w:val="16"/>
            </w:rPr>
          </w:pPr>
          <w:r>
            <w:rPr>
              <w:rFonts w:ascii="Open Sans Semibold" w:hAnsi="Open Sans Semibold" w:cs="Open Sans Semibold"/>
              <w:noProof/>
              <w:color w:val="5B9BD5" w:themeColor="accent1"/>
              <w:lang w:eastAsia="es-ES"/>
            </w:rPr>
            <w:pict>
              <v:rect id="Rectángulo 119" o:spid="_x0000_s2049" style="position:absolute;margin-left:2.85pt;margin-top:2.6pt;width:6.1pt;height:6.1pt;z-index:251659264;visibility:visible;mso-width-relative:margin;mso-height-relative:margin;v-text-anchor:middle" fillcolor="#ff6c00" stroked="f" strokeweight="1pt"/>
            </w:pict>
          </w:r>
          <w:r w:rsidR="002B31DA">
            <w:rPr>
              <w:rFonts w:ascii="Open Sans Semibold" w:hAnsi="Open Sans Semibold" w:cs="Open Sans Semibold"/>
              <w:color w:val="5B9BD5" w:themeColor="accent1"/>
            </w:rPr>
            <w:t xml:space="preserve">    </w:t>
          </w:r>
          <w:r w:rsidR="002B31DA" w:rsidRPr="0079555B">
            <w:rPr>
              <w:rFonts w:ascii="Open Sans Semibold" w:hAnsi="Open Sans Semibold" w:cs="Open Sans Semibold"/>
              <w:color w:val="FF6C00"/>
              <w:sz w:val="16"/>
              <w:szCs w:val="16"/>
            </w:rPr>
            <w:t>GUÍA DIDÁCTICA</w:t>
          </w:r>
        </w:p>
      </w:tc>
      <w:tc>
        <w:tcPr>
          <w:tcW w:w="6804" w:type="dxa"/>
          <w:shd w:val="clear" w:color="auto" w:fill="auto"/>
        </w:tcPr>
        <w:p w:rsidR="002B31DA" w:rsidRDefault="002B31DA" w:rsidP="0046046F">
          <w:pPr>
            <w:pStyle w:val="Encabezado"/>
            <w:tabs>
              <w:tab w:val="clear" w:pos="4252"/>
            </w:tabs>
            <w:spacing w:before="120"/>
            <w:ind w:left="2699"/>
            <w:jc w:val="right"/>
            <w:rPr>
              <w:rFonts w:ascii="Open Sans Light" w:hAnsi="Open Sans Light" w:cs="Open Sans Light"/>
              <w:color w:val="808080" w:themeColor="background1" w:themeShade="80"/>
              <w:sz w:val="16"/>
              <w:szCs w:val="16"/>
            </w:rPr>
          </w:pPr>
          <w:r>
            <w:rPr>
              <w:rFonts w:ascii="Open Sans Light" w:hAnsi="Open Sans Light" w:cs="Open Sans Light"/>
              <w:color w:val="808080" w:themeColor="background1" w:themeShade="80"/>
              <w:sz w:val="16"/>
              <w:szCs w:val="16"/>
            </w:rPr>
            <w:t xml:space="preserve">Sobre el </w:t>
          </w:r>
          <w:r w:rsidRPr="0046046F">
            <w:rPr>
              <w:rFonts w:ascii="Open Sans Light" w:hAnsi="Open Sans Light" w:cs="Open Sans Light"/>
              <w:color w:val="808080" w:themeColor="background1" w:themeShade="80"/>
              <w:sz w:val="16"/>
              <w:szCs w:val="16"/>
            </w:rPr>
            <w:t>cálculo de la anualidad teórica de amortización</w:t>
          </w:r>
        </w:p>
        <w:p w:rsidR="002B31DA" w:rsidRPr="0075553E" w:rsidRDefault="002B31DA" w:rsidP="00CD2614">
          <w:pPr>
            <w:pStyle w:val="Encabezado"/>
            <w:tabs>
              <w:tab w:val="clear" w:pos="4252"/>
            </w:tabs>
            <w:spacing w:before="120"/>
            <w:ind w:left="2699"/>
            <w:jc w:val="right"/>
            <w:rPr>
              <w:rFonts w:ascii="Open Sans Light" w:hAnsi="Open Sans Light" w:cs="Open Sans Light"/>
              <w:i/>
              <w:color w:val="808080" w:themeColor="background1" w:themeShade="80"/>
              <w:sz w:val="16"/>
              <w:szCs w:val="16"/>
            </w:rPr>
          </w:pPr>
          <w:r w:rsidRPr="0075553E">
            <w:rPr>
              <w:rFonts w:ascii="Open Sans Light" w:hAnsi="Open Sans Light" w:cs="Open Sans Light"/>
              <w:i/>
              <w:color w:val="808080" w:themeColor="background1" w:themeShade="80"/>
              <w:sz w:val="16"/>
              <w:szCs w:val="16"/>
            </w:rPr>
            <w:t>Febrero 2016 [V2.0216]</w:t>
          </w:r>
        </w:p>
      </w:tc>
    </w:tr>
  </w:tbl>
  <w:p w:rsidR="002B31DA" w:rsidRPr="007A75AA" w:rsidRDefault="002B31DA" w:rsidP="007A75AA">
    <w:pPr>
      <w:pStyle w:val="Encabezado"/>
      <w:ind w:left="-14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11" type="#_x0000_t75" style="width:9.75pt;height:9.75pt" o:bullet="t">
        <v:imagedata r:id="rId1" o:title="BD21298_"/>
      </v:shape>
    </w:pict>
  </w:numPicBullet>
  <w:numPicBullet w:numPicBulletId="1">
    <w:pict>
      <v:shape id="_x0000_i1612" type="#_x0000_t75" style="width:84.75pt;height:84.75pt" o:bullet="t">
        <v:imagedata r:id="rId2" o:title="introduccion"/>
      </v:shape>
    </w:pict>
  </w:numPicBullet>
  <w:numPicBullet w:numPicBulletId="2">
    <w:pict>
      <v:shape id="_x0000_i1613" type="#_x0000_t75" style="width:84.75pt;height:84.75pt" o:bullet="t">
        <v:imagedata r:id="rId3" o:title="objetivos"/>
      </v:shape>
    </w:pict>
  </w:numPicBullet>
  <w:numPicBullet w:numPicBulletId="3">
    <w:pict>
      <v:shape id="_x0000_i1614" type="#_x0000_t75" style="width:84.75pt;height:84.75pt" o:bullet="t">
        <v:imagedata r:id="rId4" o:title="contenido"/>
      </v:shape>
    </w:pict>
  </w:numPicBullet>
  <w:numPicBullet w:numPicBulletId="4">
    <w:pict>
      <v:shape id="_x0000_i1615" type="#_x0000_t75" style="width:84.75pt;height:84.75pt" o:bullet="t">
        <v:imagedata r:id="rId5" o:title="introduccion"/>
      </v:shape>
    </w:pict>
  </w:numPicBullet>
  <w:numPicBullet w:numPicBulletId="5">
    <w:pict>
      <v:shape id="_x0000_i1616" type="#_x0000_t75" style="width:84.75pt;height:84.75pt" o:bullet="t">
        <v:imagedata r:id="rId6" o:title="objetivos"/>
      </v:shape>
    </w:pict>
  </w:numPicBullet>
  <w:numPicBullet w:numPicBulletId="6">
    <w:pict>
      <v:shape id="_x0000_i1617" type="#_x0000_t75" style="width:84.75pt;height:84.75pt" o:bullet="t">
        <v:imagedata r:id="rId7" o:title="contenido"/>
      </v:shape>
    </w:pict>
  </w:numPicBullet>
  <w:numPicBullet w:numPicBulletId="7">
    <w:pict>
      <v:shape id="_x0000_i1618" type="#_x0000_t75" style="width:84.75pt;height:84.75pt" o:bullet="t">
        <v:imagedata r:id="rId8" o:title="contenido"/>
      </v:shape>
    </w:pict>
  </w:numPicBullet>
  <w:numPicBullet w:numPicBulletId="8">
    <w:pict>
      <v:shape id="_x0000_i1619" type="#_x0000_t75" style="width:84.75pt;height:84.75pt" o:bullet="t">
        <v:imagedata r:id="rId9" o:title="intro"/>
      </v:shape>
    </w:pict>
  </w:numPicBullet>
  <w:numPicBullet w:numPicBulletId="9">
    <w:pict>
      <v:shape id="_x0000_i1620" type="#_x0000_t75" style="width:84.75pt;height:84.75pt" o:bullet="t">
        <v:imagedata r:id="rId10" o:title="objetivos"/>
      </v:shape>
    </w:pict>
  </w:numPicBullet>
  <w:abstractNum w:abstractNumId="0" w15:restartNumberingAfterBreak="0">
    <w:nsid w:val="033E0941"/>
    <w:multiLevelType w:val="hybridMultilevel"/>
    <w:tmpl w:val="34AC3968"/>
    <w:lvl w:ilvl="0" w:tplc="2194B188">
      <w:start w:val="1"/>
      <w:numFmt w:val="decimal"/>
      <w:lvlText w:val="1.%1"/>
      <w:lvlJc w:val="left"/>
      <w:pPr>
        <w:ind w:left="907" w:hanging="547"/>
      </w:pPr>
      <w:rPr>
        <w:rFonts w:ascii="Open Sans Semibold" w:hAnsi="Open Sans Semibold" w:hint="default"/>
        <w:color w:val="2BB7FF"/>
      </w:rPr>
    </w:lvl>
    <w:lvl w:ilvl="1" w:tplc="BF605F24">
      <w:start w:val="1"/>
      <w:numFmt w:val="decimal"/>
      <w:lvlText w:val="1.%2"/>
      <w:lvlJc w:val="left"/>
      <w:pPr>
        <w:ind w:left="1440" w:hanging="360"/>
      </w:pPr>
      <w:rPr>
        <w:rFonts w:ascii="Open Sans Semibold" w:hAnsi="Open Sans Semibold" w:hint="default"/>
        <w:color w:val="2BB7FF"/>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786456A"/>
    <w:multiLevelType w:val="hybridMultilevel"/>
    <w:tmpl w:val="B816DBEA"/>
    <w:lvl w:ilvl="0" w:tplc="47667F14">
      <w:start w:val="1"/>
      <w:numFmt w:val="decimal"/>
      <w:lvlText w:val="%1"/>
      <w:lvlJc w:val="left"/>
      <w:pPr>
        <w:ind w:left="720" w:hanging="360"/>
      </w:pPr>
      <w:rPr>
        <w:rFonts w:ascii="Open Sans Semibold" w:hAnsi="Open Sans Semibold" w:hint="default"/>
        <w:color w:val="2BB7FF"/>
        <w:sz w:val="3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713119"/>
    <w:multiLevelType w:val="hybridMultilevel"/>
    <w:tmpl w:val="15384E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D418BD"/>
    <w:multiLevelType w:val="hybridMultilevel"/>
    <w:tmpl w:val="61C41052"/>
    <w:lvl w:ilvl="0" w:tplc="E7D45798">
      <w:start w:val="1"/>
      <w:numFmt w:val="decimal"/>
      <w:lvlText w:val="1.%1"/>
      <w:lvlJc w:val="left"/>
      <w:pPr>
        <w:ind w:left="907" w:hanging="547"/>
      </w:pPr>
      <w:rPr>
        <w:rFonts w:ascii="Open Sans Semibold" w:hAnsi="Open Sans Semibold" w:hint="default"/>
        <w:color w:val="2BB7FF"/>
      </w:rPr>
    </w:lvl>
    <w:lvl w:ilvl="1" w:tplc="BF605F24">
      <w:start w:val="1"/>
      <w:numFmt w:val="decimal"/>
      <w:lvlText w:val="1.%2"/>
      <w:lvlJc w:val="left"/>
      <w:pPr>
        <w:ind w:left="1440" w:hanging="360"/>
      </w:pPr>
      <w:rPr>
        <w:rFonts w:ascii="Open Sans Semibold" w:hAnsi="Open Sans Semibold" w:hint="default"/>
        <w:color w:val="2BB7FF"/>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D3A1CD9"/>
    <w:multiLevelType w:val="multilevel"/>
    <w:tmpl w:val="CEA2DA7A"/>
    <w:lvl w:ilvl="0">
      <w:start w:val="1"/>
      <w:numFmt w:val="decimal"/>
      <w:lvlText w:val="%1."/>
      <w:lvlJc w:val="left"/>
      <w:pPr>
        <w:ind w:left="600" w:hanging="600"/>
      </w:pPr>
      <w:rPr>
        <w:rFonts w:hint="default"/>
      </w:rPr>
    </w:lvl>
    <w:lvl w:ilvl="1">
      <w:start w:val="1"/>
      <w:numFmt w:val="decimal"/>
      <w:lvlText w:val="%1.%2."/>
      <w:lvlJc w:val="left"/>
      <w:pPr>
        <w:ind w:left="1571" w:hanging="720"/>
      </w:pPr>
      <w:rPr>
        <w:rFonts w:ascii="Arial" w:hAnsi="Arial" w:cs="Arial" w:hint="default"/>
        <w:sz w:val="48"/>
        <w:szCs w:val="48"/>
      </w:rPr>
    </w:lvl>
    <w:lvl w:ilvl="2">
      <w:start w:val="1"/>
      <w:numFmt w:val="decimal"/>
      <w:lvlText w:val="%1.%2.%3."/>
      <w:lvlJc w:val="left"/>
      <w:pPr>
        <w:ind w:left="2782" w:hanging="1080"/>
      </w:pPr>
      <w:rPr>
        <w:rFonts w:hint="default"/>
      </w:rPr>
    </w:lvl>
    <w:lvl w:ilvl="3">
      <w:start w:val="1"/>
      <w:numFmt w:val="decimal"/>
      <w:lvlText w:val="%1.%2.%3.%4."/>
      <w:lvlJc w:val="left"/>
      <w:pPr>
        <w:ind w:left="3993" w:hanging="1440"/>
      </w:pPr>
      <w:rPr>
        <w:rFonts w:hint="default"/>
      </w:rPr>
    </w:lvl>
    <w:lvl w:ilvl="4">
      <w:start w:val="1"/>
      <w:numFmt w:val="decimal"/>
      <w:lvlText w:val="%1.%2.%3.%4.%5."/>
      <w:lvlJc w:val="left"/>
      <w:pPr>
        <w:ind w:left="5204" w:hanging="1800"/>
      </w:pPr>
      <w:rPr>
        <w:rFonts w:hint="default"/>
      </w:rPr>
    </w:lvl>
    <w:lvl w:ilvl="5">
      <w:start w:val="1"/>
      <w:numFmt w:val="decimal"/>
      <w:lvlText w:val="%1.%2.%3.%4.%5.%6."/>
      <w:lvlJc w:val="left"/>
      <w:pPr>
        <w:ind w:left="6415" w:hanging="216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688" w:hanging="2880"/>
      </w:pPr>
      <w:rPr>
        <w:rFonts w:hint="default"/>
      </w:rPr>
    </w:lvl>
  </w:abstractNum>
  <w:abstractNum w:abstractNumId="5" w15:restartNumberingAfterBreak="0">
    <w:nsid w:val="0D855289"/>
    <w:multiLevelType w:val="hybridMultilevel"/>
    <w:tmpl w:val="57FCB2C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F6A1063"/>
    <w:multiLevelType w:val="hybridMultilevel"/>
    <w:tmpl w:val="CDDC06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0827C31"/>
    <w:multiLevelType w:val="hybridMultilevel"/>
    <w:tmpl w:val="4DD69EEE"/>
    <w:lvl w:ilvl="0" w:tplc="E7D45798">
      <w:start w:val="1"/>
      <w:numFmt w:val="decimal"/>
      <w:lvlText w:val="1.%1"/>
      <w:lvlJc w:val="left"/>
      <w:pPr>
        <w:ind w:left="1143" w:hanging="360"/>
      </w:pPr>
      <w:rPr>
        <w:rFonts w:ascii="Open Sans Semibold" w:hAnsi="Open Sans Semibold" w:hint="default"/>
        <w:color w:val="2BB7FF"/>
      </w:rPr>
    </w:lvl>
    <w:lvl w:ilvl="1" w:tplc="0C0A0019">
      <w:start w:val="1"/>
      <w:numFmt w:val="lowerLetter"/>
      <w:lvlText w:val="%2."/>
      <w:lvlJc w:val="left"/>
      <w:pPr>
        <w:ind w:left="1863" w:hanging="360"/>
      </w:pPr>
    </w:lvl>
    <w:lvl w:ilvl="2" w:tplc="0C0A001B" w:tentative="1">
      <w:start w:val="1"/>
      <w:numFmt w:val="lowerRoman"/>
      <w:lvlText w:val="%3."/>
      <w:lvlJc w:val="right"/>
      <w:pPr>
        <w:ind w:left="2583" w:hanging="180"/>
      </w:pPr>
    </w:lvl>
    <w:lvl w:ilvl="3" w:tplc="0C0A000F" w:tentative="1">
      <w:start w:val="1"/>
      <w:numFmt w:val="decimal"/>
      <w:lvlText w:val="%4."/>
      <w:lvlJc w:val="left"/>
      <w:pPr>
        <w:ind w:left="3303" w:hanging="360"/>
      </w:pPr>
    </w:lvl>
    <w:lvl w:ilvl="4" w:tplc="0C0A0019" w:tentative="1">
      <w:start w:val="1"/>
      <w:numFmt w:val="lowerLetter"/>
      <w:lvlText w:val="%5."/>
      <w:lvlJc w:val="left"/>
      <w:pPr>
        <w:ind w:left="4023" w:hanging="360"/>
      </w:pPr>
    </w:lvl>
    <w:lvl w:ilvl="5" w:tplc="0C0A001B" w:tentative="1">
      <w:start w:val="1"/>
      <w:numFmt w:val="lowerRoman"/>
      <w:lvlText w:val="%6."/>
      <w:lvlJc w:val="right"/>
      <w:pPr>
        <w:ind w:left="4743" w:hanging="180"/>
      </w:pPr>
    </w:lvl>
    <w:lvl w:ilvl="6" w:tplc="0C0A000F" w:tentative="1">
      <w:start w:val="1"/>
      <w:numFmt w:val="decimal"/>
      <w:lvlText w:val="%7."/>
      <w:lvlJc w:val="left"/>
      <w:pPr>
        <w:ind w:left="5463" w:hanging="360"/>
      </w:pPr>
    </w:lvl>
    <w:lvl w:ilvl="7" w:tplc="0C0A0019" w:tentative="1">
      <w:start w:val="1"/>
      <w:numFmt w:val="lowerLetter"/>
      <w:lvlText w:val="%8."/>
      <w:lvlJc w:val="left"/>
      <w:pPr>
        <w:ind w:left="6183" w:hanging="360"/>
      </w:pPr>
    </w:lvl>
    <w:lvl w:ilvl="8" w:tplc="0C0A001B" w:tentative="1">
      <w:start w:val="1"/>
      <w:numFmt w:val="lowerRoman"/>
      <w:lvlText w:val="%9."/>
      <w:lvlJc w:val="right"/>
      <w:pPr>
        <w:ind w:left="6903" w:hanging="180"/>
      </w:pPr>
    </w:lvl>
  </w:abstractNum>
  <w:abstractNum w:abstractNumId="8" w15:restartNumberingAfterBreak="0">
    <w:nsid w:val="18A35A28"/>
    <w:multiLevelType w:val="hybridMultilevel"/>
    <w:tmpl w:val="5C98B4E6"/>
    <w:lvl w:ilvl="0" w:tplc="8B467D32">
      <w:start w:val="1"/>
      <w:numFmt w:val="bullet"/>
      <w:lvlText w:val=""/>
      <w:lvlJc w:val="left"/>
      <w:pPr>
        <w:ind w:left="2136" w:hanging="360"/>
      </w:pPr>
      <w:rPr>
        <w:rFonts w:ascii="Wingdings" w:hAnsi="Wingdings" w:hint="default"/>
        <w:color w:val="76B531"/>
        <w:u w:color="76B531"/>
      </w:rPr>
    </w:lvl>
    <w:lvl w:ilvl="1" w:tplc="0C0A0003">
      <w:start w:val="1"/>
      <w:numFmt w:val="bullet"/>
      <w:lvlText w:val="o"/>
      <w:lvlJc w:val="left"/>
      <w:pPr>
        <w:ind w:left="2856" w:hanging="360"/>
      </w:pPr>
      <w:rPr>
        <w:rFonts w:ascii="Courier New" w:hAnsi="Courier New" w:cs="Courier New" w:hint="default"/>
      </w:rPr>
    </w:lvl>
    <w:lvl w:ilvl="2" w:tplc="0C0A0005">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9" w15:restartNumberingAfterBreak="0">
    <w:nsid w:val="1C231AB2"/>
    <w:multiLevelType w:val="hybridMultilevel"/>
    <w:tmpl w:val="962A3E8A"/>
    <w:lvl w:ilvl="0" w:tplc="D9402B62">
      <w:start w:val="1"/>
      <w:numFmt w:val="bullet"/>
      <w:lvlText w:val=""/>
      <w:lvlJc w:val="left"/>
      <w:pPr>
        <w:ind w:left="720" w:hanging="360"/>
      </w:pPr>
      <w:rPr>
        <w:rFonts w:ascii="Symbol" w:hAnsi="Symbol" w:hint="default"/>
        <w:color w:val="FFC000" w:themeColor="accent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EF01085"/>
    <w:multiLevelType w:val="hybridMultilevel"/>
    <w:tmpl w:val="EF308DCE"/>
    <w:lvl w:ilvl="0" w:tplc="EE524C98">
      <w:start w:val="1"/>
      <w:numFmt w:val="bullet"/>
      <w:pStyle w:val="TtuloIntro"/>
      <w:lvlText w:val=""/>
      <w:lvlPicBulletId w:val="8"/>
      <w:lvlJc w:val="left"/>
      <w:pPr>
        <w:ind w:left="360" w:hanging="360"/>
      </w:pPr>
      <w:rPr>
        <w:rFonts w:ascii="Symbol" w:hAnsi="Symbol" w:hint="default"/>
        <w:color w:val="auto"/>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 w15:restartNumberingAfterBreak="0">
    <w:nsid w:val="22E151A2"/>
    <w:multiLevelType w:val="hybridMultilevel"/>
    <w:tmpl w:val="AEEE4FF2"/>
    <w:lvl w:ilvl="0" w:tplc="B9245086">
      <w:start w:val="1"/>
      <w:numFmt w:val="bullet"/>
      <w:pStyle w:val="TituloObjetivs"/>
      <w:lvlText w:val=""/>
      <w:lvlPicBulletId w:val="9"/>
      <w:lvlJc w:val="left"/>
      <w:pPr>
        <w:ind w:left="36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BA5034C"/>
    <w:multiLevelType w:val="hybridMultilevel"/>
    <w:tmpl w:val="3E7C6C8A"/>
    <w:lvl w:ilvl="0" w:tplc="9BD01E9A">
      <w:start w:val="1"/>
      <w:numFmt w:val="lowerLetter"/>
      <w:pStyle w:val="ListadoLetras"/>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C5B5130"/>
    <w:multiLevelType w:val="hybridMultilevel"/>
    <w:tmpl w:val="69543CB0"/>
    <w:lvl w:ilvl="0" w:tplc="AE14B3B2">
      <w:start w:val="1"/>
      <w:numFmt w:val="bullet"/>
      <w:pStyle w:val="Listado"/>
      <w:lvlText w:val=""/>
      <w:lvlJc w:val="left"/>
      <w:pPr>
        <w:ind w:left="757" w:hanging="360"/>
      </w:pPr>
      <w:rPr>
        <w:rFonts w:ascii="Symbol" w:hAnsi="Symbol" w:hint="default"/>
        <w:color w:val="FF6C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CB6782B"/>
    <w:multiLevelType w:val="hybridMultilevel"/>
    <w:tmpl w:val="D2EE85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1BB13EB"/>
    <w:multiLevelType w:val="hybridMultilevel"/>
    <w:tmpl w:val="D1BE004C"/>
    <w:lvl w:ilvl="0" w:tplc="DA662010">
      <w:start w:val="1"/>
      <w:numFmt w:val="upperLetter"/>
      <w:pStyle w:val="Tituloicono"/>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1E71C82"/>
    <w:multiLevelType w:val="hybridMultilevel"/>
    <w:tmpl w:val="C2EC74C6"/>
    <w:lvl w:ilvl="0" w:tplc="E7D45798">
      <w:start w:val="1"/>
      <w:numFmt w:val="decimal"/>
      <w:lvlText w:val="1.%1"/>
      <w:lvlJc w:val="left"/>
      <w:pPr>
        <w:ind w:left="1143" w:hanging="360"/>
      </w:pPr>
      <w:rPr>
        <w:rFonts w:ascii="Open Sans Semibold" w:hAnsi="Open Sans Semibold" w:hint="default"/>
        <w:color w:val="2BB7FF"/>
      </w:rPr>
    </w:lvl>
    <w:lvl w:ilvl="1" w:tplc="E7D45798">
      <w:start w:val="1"/>
      <w:numFmt w:val="decimal"/>
      <w:lvlText w:val="1.%2"/>
      <w:lvlJc w:val="left"/>
      <w:pPr>
        <w:ind w:left="1863" w:hanging="360"/>
      </w:pPr>
      <w:rPr>
        <w:rFonts w:ascii="Open Sans Semibold" w:hAnsi="Open Sans Semibold" w:hint="default"/>
        <w:color w:val="2BB7FF"/>
      </w:rPr>
    </w:lvl>
    <w:lvl w:ilvl="2" w:tplc="0C0A001B" w:tentative="1">
      <w:start w:val="1"/>
      <w:numFmt w:val="lowerRoman"/>
      <w:lvlText w:val="%3."/>
      <w:lvlJc w:val="right"/>
      <w:pPr>
        <w:ind w:left="2583" w:hanging="180"/>
      </w:pPr>
    </w:lvl>
    <w:lvl w:ilvl="3" w:tplc="0C0A000F" w:tentative="1">
      <w:start w:val="1"/>
      <w:numFmt w:val="decimal"/>
      <w:lvlText w:val="%4."/>
      <w:lvlJc w:val="left"/>
      <w:pPr>
        <w:ind w:left="3303" w:hanging="360"/>
      </w:pPr>
    </w:lvl>
    <w:lvl w:ilvl="4" w:tplc="0C0A0019" w:tentative="1">
      <w:start w:val="1"/>
      <w:numFmt w:val="lowerLetter"/>
      <w:lvlText w:val="%5."/>
      <w:lvlJc w:val="left"/>
      <w:pPr>
        <w:ind w:left="4023" w:hanging="360"/>
      </w:pPr>
    </w:lvl>
    <w:lvl w:ilvl="5" w:tplc="0C0A001B" w:tentative="1">
      <w:start w:val="1"/>
      <w:numFmt w:val="lowerRoman"/>
      <w:lvlText w:val="%6."/>
      <w:lvlJc w:val="right"/>
      <w:pPr>
        <w:ind w:left="4743" w:hanging="180"/>
      </w:pPr>
    </w:lvl>
    <w:lvl w:ilvl="6" w:tplc="0C0A000F" w:tentative="1">
      <w:start w:val="1"/>
      <w:numFmt w:val="decimal"/>
      <w:lvlText w:val="%7."/>
      <w:lvlJc w:val="left"/>
      <w:pPr>
        <w:ind w:left="5463" w:hanging="360"/>
      </w:pPr>
    </w:lvl>
    <w:lvl w:ilvl="7" w:tplc="0C0A0019" w:tentative="1">
      <w:start w:val="1"/>
      <w:numFmt w:val="lowerLetter"/>
      <w:lvlText w:val="%8."/>
      <w:lvlJc w:val="left"/>
      <w:pPr>
        <w:ind w:left="6183" w:hanging="360"/>
      </w:pPr>
    </w:lvl>
    <w:lvl w:ilvl="8" w:tplc="0C0A001B" w:tentative="1">
      <w:start w:val="1"/>
      <w:numFmt w:val="lowerRoman"/>
      <w:lvlText w:val="%9."/>
      <w:lvlJc w:val="right"/>
      <w:pPr>
        <w:ind w:left="6903" w:hanging="180"/>
      </w:pPr>
    </w:lvl>
  </w:abstractNum>
  <w:abstractNum w:abstractNumId="17" w15:restartNumberingAfterBreak="0">
    <w:nsid w:val="35484449"/>
    <w:multiLevelType w:val="hybridMultilevel"/>
    <w:tmpl w:val="C9821836"/>
    <w:lvl w:ilvl="0" w:tplc="0C0A0015">
      <w:start w:val="1"/>
      <w:numFmt w:val="upp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15:restartNumberingAfterBreak="0">
    <w:nsid w:val="370876BE"/>
    <w:multiLevelType w:val="hybridMultilevel"/>
    <w:tmpl w:val="4C18B82E"/>
    <w:lvl w:ilvl="0" w:tplc="E25C8FF6">
      <w:start w:val="1"/>
      <w:numFmt w:val="bullet"/>
      <w:lvlText w:val=""/>
      <w:lvlJc w:val="left"/>
      <w:pPr>
        <w:ind w:left="720" w:hanging="360"/>
      </w:pPr>
      <w:rPr>
        <w:rFonts w:ascii="Symbol" w:hAnsi="Symbol" w:hint="default"/>
        <w:color w:val="FFC000" w:themeColor="accent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79D4229"/>
    <w:multiLevelType w:val="hybridMultilevel"/>
    <w:tmpl w:val="B68CD0BE"/>
    <w:lvl w:ilvl="0" w:tplc="040EE0E0">
      <w:start w:val="1"/>
      <w:numFmt w:val="bullet"/>
      <w:lvlText w:val=""/>
      <w:lvlJc w:val="left"/>
      <w:pPr>
        <w:ind w:left="720" w:hanging="360"/>
      </w:pPr>
      <w:rPr>
        <w:rFonts w:ascii="Symbol" w:hAnsi="Symbol" w:hint="default"/>
        <w:color w:val="FFC000" w:themeColor="accent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E2D00BA"/>
    <w:multiLevelType w:val="hybridMultilevel"/>
    <w:tmpl w:val="68BC5032"/>
    <w:lvl w:ilvl="0" w:tplc="19DC83C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0327C2E"/>
    <w:multiLevelType w:val="hybridMultilevel"/>
    <w:tmpl w:val="EB62CE92"/>
    <w:lvl w:ilvl="0" w:tplc="3C7E17BC">
      <w:start w:val="1"/>
      <w:numFmt w:val="bullet"/>
      <w:pStyle w:val="TituloContenido"/>
      <w:lvlText w:val=""/>
      <w:lvlPicBulletId w:val="7"/>
      <w:lvlJc w:val="left"/>
      <w:pPr>
        <w:ind w:left="36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32052B6"/>
    <w:multiLevelType w:val="hybridMultilevel"/>
    <w:tmpl w:val="B876039A"/>
    <w:lvl w:ilvl="0" w:tplc="8264C7CE">
      <w:start w:val="1"/>
      <w:numFmt w:val="bullet"/>
      <w:lvlText w:val=""/>
      <w:lvlPicBulletId w:val="0"/>
      <w:lvlJc w:val="left"/>
      <w:pPr>
        <w:ind w:left="2160" w:hanging="360"/>
      </w:pPr>
      <w:rPr>
        <w:rFonts w:ascii="Symbol" w:hAnsi="Symbol" w:hint="default"/>
        <w:color w:val="auto"/>
      </w:rPr>
    </w:lvl>
    <w:lvl w:ilvl="1" w:tplc="956CF6E0">
      <w:start w:val="1"/>
      <w:numFmt w:val="bullet"/>
      <w:lvlText w:val=""/>
      <w:lvlJc w:val="left"/>
      <w:pPr>
        <w:ind w:left="2880" w:hanging="360"/>
      </w:pPr>
      <w:rPr>
        <w:rFonts w:ascii="Wingdings" w:hAnsi="Wingdings" w:hint="default"/>
        <w:color w:val="76B531"/>
        <w:u w:color="76B531"/>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3" w15:restartNumberingAfterBreak="0">
    <w:nsid w:val="436661B3"/>
    <w:multiLevelType w:val="multilevel"/>
    <w:tmpl w:val="BF188B74"/>
    <w:lvl w:ilvl="0">
      <w:start w:val="1"/>
      <w:numFmt w:val="decimal"/>
      <w:lvlText w:val="%1."/>
      <w:lvlJc w:val="left"/>
      <w:pPr>
        <w:ind w:left="420" w:hanging="420"/>
      </w:pPr>
      <w:rPr>
        <w:rFonts w:hint="default"/>
        <w:color w:val="76923C"/>
      </w:rPr>
    </w:lvl>
    <w:lvl w:ilvl="1">
      <w:start w:val="1"/>
      <w:numFmt w:val="decimal"/>
      <w:lvlText w:val="%1.%2."/>
      <w:lvlJc w:val="left"/>
      <w:pPr>
        <w:ind w:left="1143" w:hanging="720"/>
      </w:pPr>
      <w:rPr>
        <w:rFonts w:hint="default"/>
        <w:color w:val="76923C"/>
      </w:rPr>
    </w:lvl>
    <w:lvl w:ilvl="2">
      <w:start w:val="1"/>
      <w:numFmt w:val="decimal"/>
      <w:lvlText w:val="%1.%2.%3."/>
      <w:lvlJc w:val="left"/>
      <w:pPr>
        <w:ind w:left="1566" w:hanging="720"/>
      </w:pPr>
      <w:rPr>
        <w:rFonts w:hint="default"/>
        <w:color w:val="76923C"/>
      </w:rPr>
    </w:lvl>
    <w:lvl w:ilvl="3">
      <w:start w:val="1"/>
      <w:numFmt w:val="decimal"/>
      <w:lvlText w:val="%1.%2.%3.%4."/>
      <w:lvlJc w:val="left"/>
      <w:pPr>
        <w:ind w:left="2349" w:hanging="1080"/>
      </w:pPr>
      <w:rPr>
        <w:rFonts w:hint="default"/>
        <w:color w:val="76923C"/>
      </w:rPr>
    </w:lvl>
    <w:lvl w:ilvl="4">
      <w:start w:val="1"/>
      <w:numFmt w:val="decimal"/>
      <w:lvlText w:val="%1.%2.%3.%4.%5."/>
      <w:lvlJc w:val="left"/>
      <w:pPr>
        <w:ind w:left="2772" w:hanging="1080"/>
      </w:pPr>
      <w:rPr>
        <w:rFonts w:hint="default"/>
        <w:color w:val="76923C"/>
      </w:rPr>
    </w:lvl>
    <w:lvl w:ilvl="5">
      <w:start w:val="1"/>
      <w:numFmt w:val="decimal"/>
      <w:lvlText w:val="%1.%2.%3.%4.%5.%6."/>
      <w:lvlJc w:val="left"/>
      <w:pPr>
        <w:ind w:left="3555" w:hanging="1440"/>
      </w:pPr>
      <w:rPr>
        <w:rFonts w:hint="default"/>
        <w:color w:val="76923C"/>
      </w:rPr>
    </w:lvl>
    <w:lvl w:ilvl="6">
      <w:start w:val="1"/>
      <w:numFmt w:val="decimal"/>
      <w:lvlText w:val="%1.%2.%3.%4.%5.%6.%7."/>
      <w:lvlJc w:val="left"/>
      <w:pPr>
        <w:ind w:left="4338" w:hanging="1800"/>
      </w:pPr>
      <w:rPr>
        <w:rFonts w:hint="default"/>
        <w:color w:val="76923C"/>
      </w:rPr>
    </w:lvl>
    <w:lvl w:ilvl="7">
      <w:start w:val="1"/>
      <w:numFmt w:val="decimal"/>
      <w:lvlText w:val="%1.%2.%3.%4.%5.%6.%7.%8."/>
      <w:lvlJc w:val="left"/>
      <w:pPr>
        <w:ind w:left="4761" w:hanging="1800"/>
      </w:pPr>
      <w:rPr>
        <w:rFonts w:hint="default"/>
        <w:color w:val="76923C"/>
      </w:rPr>
    </w:lvl>
    <w:lvl w:ilvl="8">
      <w:start w:val="1"/>
      <w:numFmt w:val="decimal"/>
      <w:lvlText w:val="%1.%2.%3.%4.%5.%6.%7.%8.%9."/>
      <w:lvlJc w:val="left"/>
      <w:pPr>
        <w:ind w:left="5544" w:hanging="2160"/>
      </w:pPr>
      <w:rPr>
        <w:rFonts w:hint="default"/>
        <w:color w:val="76923C"/>
      </w:rPr>
    </w:lvl>
  </w:abstractNum>
  <w:abstractNum w:abstractNumId="24" w15:restartNumberingAfterBreak="0">
    <w:nsid w:val="5C296268"/>
    <w:multiLevelType w:val="hybridMultilevel"/>
    <w:tmpl w:val="1206D07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EEF4F8C"/>
    <w:multiLevelType w:val="hybridMultilevel"/>
    <w:tmpl w:val="DE945FF2"/>
    <w:lvl w:ilvl="0" w:tplc="D9402B62">
      <w:start w:val="1"/>
      <w:numFmt w:val="bullet"/>
      <w:lvlText w:val=""/>
      <w:lvlJc w:val="left"/>
      <w:pPr>
        <w:ind w:left="720" w:hanging="360"/>
      </w:pPr>
      <w:rPr>
        <w:rFonts w:ascii="Symbol" w:hAnsi="Symbol" w:hint="default"/>
        <w:color w:val="FFC000" w:themeColor="accent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11A5B94"/>
    <w:multiLevelType w:val="hybridMultilevel"/>
    <w:tmpl w:val="570867F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C902DC9"/>
    <w:multiLevelType w:val="hybridMultilevel"/>
    <w:tmpl w:val="87A098E6"/>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6EF575AB"/>
    <w:multiLevelType w:val="hybridMultilevel"/>
    <w:tmpl w:val="4ED47E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29049F1"/>
    <w:multiLevelType w:val="hybridMultilevel"/>
    <w:tmpl w:val="BFB4F9A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58C40F2"/>
    <w:multiLevelType w:val="hybridMultilevel"/>
    <w:tmpl w:val="B71AE4E8"/>
    <w:lvl w:ilvl="0" w:tplc="D9402B62">
      <w:start w:val="1"/>
      <w:numFmt w:val="bullet"/>
      <w:lvlText w:val=""/>
      <w:lvlJc w:val="left"/>
      <w:pPr>
        <w:ind w:left="720" w:hanging="360"/>
      </w:pPr>
      <w:rPr>
        <w:rFonts w:ascii="Symbol" w:hAnsi="Symbol" w:hint="default"/>
        <w:color w:val="FFC000" w:themeColor="accent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9B62027"/>
    <w:multiLevelType w:val="hybridMultilevel"/>
    <w:tmpl w:val="52DAF8FA"/>
    <w:lvl w:ilvl="0" w:tplc="0C0A0001">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32" w15:restartNumberingAfterBreak="0">
    <w:nsid w:val="79DA7C13"/>
    <w:multiLevelType w:val="hybridMultilevel"/>
    <w:tmpl w:val="82A8E12E"/>
    <w:lvl w:ilvl="0" w:tplc="3F3EB676">
      <w:start w:val="1"/>
      <w:numFmt w:val="decimal"/>
      <w:pStyle w:val="Listanumerada"/>
      <w:lvlText w:val="%1."/>
      <w:lvlJc w:val="left"/>
      <w:pPr>
        <w:ind w:left="720" w:hanging="360"/>
      </w:pPr>
      <w:rPr>
        <w:rFonts w:hint="default"/>
        <w:color w:val="FF6C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AB722ED"/>
    <w:multiLevelType w:val="hybridMultilevel"/>
    <w:tmpl w:val="57FCB2C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31"/>
  </w:num>
  <w:num w:numId="3">
    <w:abstractNumId w:val="6"/>
  </w:num>
  <w:num w:numId="4">
    <w:abstractNumId w:val="19"/>
  </w:num>
  <w:num w:numId="5">
    <w:abstractNumId w:val="18"/>
  </w:num>
  <w:num w:numId="6">
    <w:abstractNumId w:val="7"/>
  </w:num>
  <w:num w:numId="7">
    <w:abstractNumId w:val="23"/>
  </w:num>
  <w:num w:numId="8">
    <w:abstractNumId w:val="16"/>
  </w:num>
  <w:num w:numId="9">
    <w:abstractNumId w:val="0"/>
  </w:num>
  <w:num w:numId="10">
    <w:abstractNumId w:val="3"/>
  </w:num>
  <w:num w:numId="11">
    <w:abstractNumId w:val="13"/>
  </w:num>
  <w:num w:numId="12">
    <w:abstractNumId w:val="30"/>
  </w:num>
  <w:num w:numId="13">
    <w:abstractNumId w:val="32"/>
  </w:num>
  <w:num w:numId="14">
    <w:abstractNumId w:val="22"/>
  </w:num>
  <w:num w:numId="15">
    <w:abstractNumId w:val="8"/>
  </w:num>
  <w:num w:numId="16">
    <w:abstractNumId w:val="27"/>
  </w:num>
  <w:num w:numId="17">
    <w:abstractNumId w:val="14"/>
  </w:num>
  <w:num w:numId="18">
    <w:abstractNumId w:val="29"/>
  </w:num>
  <w:num w:numId="19">
    <w:abstractNumId w:val="1"/>
  </w:num>
  <w:num w:numId="20">
    <w:abstractNumId w:val="12"/>
  </w:num>
  <w:num w:numId="21">
    <w:abstractNumId w:val="10"/>
  </w:num>
  <w:num w:numId="22">
    <w:abstractNumId w:val="11"/>
  </w:num>
  <w:num w:numId="23">
    <w:abstractNumId w:val="21"/>
  </w:num>
  <w:num w:numId="24">
    <w:abstractNumId w:val="9"/>
  </w:num>
  <w:num w:numId="25">
    <w:abstractNumId w:val="25"/>
  </w:num>
  <w:num w:numId="26">
    <w:abstractNumId w:val="24"/>
  </w:num>
  <w:num w:numId="27">
    <w:abstractNumId w:val="33"/>
  </w:num>
  <w:num w:numId="28">
    <w:abstractNumId w:val="5"/>
  </w:num>
  <w:num w:numId="29">
    <w:abstractNumId w:val="26"/>
  </w:num>
  <w:num w:numId="30">
    <w:abstractNumId w:val="20"/>
  </w:num>
  <w:num w:numId="31">
    <w:abstractNumId w:val="2"/>
  </w:num>
  <w:num w:numId="32">
    <w:abstractNumId w:val="28"/>
  </w:num>
  <w:num w:numId="33">
    <w:abstractNumId w:val="15"/>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640C1"/>
    <w:rsid w:val="00033FC1"/>
    <w:rsid w:val="00043AEF"/>
    <w:rsid w:val="00066F8B"/>
    <w:rsid w:val="00072D56"/>
    <w:rsid w:val="00091EC7"/>
    <w:rsid w:val="000967CB"/>
    <w:rsid w:val="000A22AB"/>
    <w:rsid w:val="000C5A3B"/>
    <w:rsid w:val="000D27F7"/>
    <w:rsid w:val="000D4A65"/>
    <w:rsid w:val="000E1F68"/>
    <w:rsid w:val="0011200A"/>
    <w:rsid w:val="0011300E"/>
    <w:rsid w:val="00140D62"/>
    <w:rsid w:val="001640C1"/>
    <w:rsid w:val="00186752"/>
    <w:rsid w:val="001C1E69"/>
    <w:rsid w:val="001C4E83"/>
    <w:rsid w:val="001D1D1C"/>
    <w:rsid w:val="001D785D"/>
    <w:rsid w:val="00211A35"/>
    <w:rsid w:val="00216978"/>
    <w:rsid w:val="002272FE"/>
    <w:rsid w:val="002421D5"/>
    <w:rsid w:val="00272FCC"/>
    <w:rsid w:val="00293C1B"/>
    <w:rsid w:val="002A0D8E"/>
    <w:rsid w:val="002A4025"/>
    <w:rsid w:val="002B31DA"/>
    <w:rsid w:val="002B4EE0"/>
    <w:rsid w:val="002D6DC2"/>
    <w:rsid w:val="002F15A1"/>
    <w:rsid w:val="00321D5D"/>
    <w:rsid w:val="00325997"/>
    <w:rsid w:val="00326BCF"/>
    <w:rsid w:val="00336B6D"/>
    <w:rsid w:val="00347ABE"/>
    <w:rsid w:val="00347E44"/>
    <w:rsid w:val="00381E9F"/>
    <w:rsid w:val="003B46D7"/>
    <w:rsid w:val="00423B6A"/>
    <w:rsid w:val="00431FCC"/>
    <w:rsid w:val="00434C92"/>
    <w:rsid w:val="0043591E"/>
    <w:rsid w:val="00452B78"/>
    <w:rsid w:val="0046046F"/>
    <w:rsid w:val="00493C70"/>
    <w:rsid w:val="00496910"/>
    <w:rsid w:val="004F1F64"/>
    <w:rsid w:val="00500B12"/>
    <w:rsid w:val="00507EB7"/>
    <w:rsid w:val="005105CF"/>
    <w:rsid w:val="005113BA"/>
    <w:rsid w:val="00521841"/>
    <w:rsid w:val="00532DFC"/>
    <w:rsid w:val="00555765"/>
    <w:rsid w:val="0055579F"/>
    <w:rsid w:val="00560444"/>
    <w:rsid w:val="00561EE4"/>
    <w:rsid w:val="0056432A"/>
    <w:rsid w:val="00577D5C"/>
    <w:rsid w:val="0058325A"/>
    <w:rsid w:val="005A5FD6"/>
    <w:rsid w:val="005C36AD"/>
    <w:rsid w:val="005F61FC"/>
    <w:rsid w:val="006043A0"/>
    <w:rsid w:val="00626369"/>
    <w:rsid w:val="00646930"/>
    <w:rsid w:val="0067002A"/>
    <w:rsid w:val="00671826"/>
    <w:rsid w:val="00686540"/>
    <w:rsid w:val="00697CD8"/>
    <w:rsid w:val="006A2A75"/>
    <w:rsid w:val="006B1262"/>
    <w:rsid w:val="006C00C0"/>
    <w:rsid w:val="006E22B8"/>
    <w:rsid w:val="00750551"/>
    <w:rsid w:val="00755364"/>
    <w:rsid w:val="0075553E"/>
    <w:rsid w:val="0075593A"/>
    <w:rsid w:val="007569AB"/>
    <w:rsid w:val="0076596D"/>
    <w:rsid w:val="00773738"/>
    <w:rsid w:val="00775622"/>
    <w:rsid w:val="007800F4"/>
    <w:rsid w:val="00794760"/>
    <w:rsid w:val="0079555B"/>
    <w:rsid w:val="007A75AA"/>
    <w:rsid w:val="007B680B"/>
    <w:rsid w:val="007D7C7F"/>
    <w:rsid w:val="008032DB"/>
    <w:rsid w:val="008042D9"/>
    <w:rsid w:val="00813124"/>
    <w:rsid w:val="008154BC"/>
    <w:rsid w:val="00825D05"/>
    <w:rsid w:val="00827EB7"/>
    <w:rsid w:val="008644CF"/>
    <w:rsid w:val="008739B5"/>
    <w:rsid w:val="00882953"/>
    <w:rsid w:val="008B6F58"/>
    <w:rsid w:val="008D2F56"/>
    <w:rsid w:val="009100E0"/>
    <w:rsid w:val="00917C0F"/>
    <w:rsid w:val="009358FF"/>
    <w:rsid w:val="00940DA4"/>
    <w:rsid w:val="00941E6C"/>
    <w:rsid w:val="00953A68"/>
    <w:rsid w:val="00954080"/>
    <w:rsid w:val="00972D52"/>
    <w:rsid w:val="00973E3A"/>
    <w:rsid w:val="00984447"/>
    <w:rsid w:val="00990AA4"/>
    <w:rsid w:val="0099157E"/>
    <w:rsid w:val="009918E6"/>
    <w:rsid w:val="009A28BE"/>
    <w:rsid w:val="009A2ED8"/>
    <w:rsid w:val="009B7ABE"/>
    <w:rsid w:val="009B7B8E"/>
    <w:rsid w:val="009C0C41"/>
    <w:rsid w:val="009D04FD"/>
    <w:rsid w:val="009E48D9"/>
    <w:rsid w:val="009E6D35"/>
    <w:rsid w:val="009E7DE3"/>
    <w:rsid w:val="00A017FD"/>
    <w:rsid w:val="00A10370"/>
    <w:rsid w:val="00A11000"/>
    <w:rsid w:val="00A14981"/>
    <w:rsid w:val="00A247A1"/>
    <w:rsid w:val="00A34D25"/>
    <w:rsid w:val="00A373FA"/>
    <w:rsid w:val="00A5384F"/>
    <w:rsid w:val="00A620ED"/>
    <w:rsid w:val="00A63BC7"/>
    <w:rsid w:val="00A63C00"/>
    <w:rsid w:val="00A7304F"/>
    <w:rsid w:val="00A90668"/>
    <w:rsid w:val="00AA7D7E"/>
    <w:rsid w:val="00B1735D"/>
    <w:rsid w:val="00B263A5"/>
    <w:rsid w:val="00B30789"/>
    <w:rsid w:val="00B36FB4"/>
    <w:rsid w:val="00B448D6"/>
    <w:rsid w:val="00B617DE"/>
    <w:rsid w:val="00B6637A"/>
    <w:rsid w:val="00B67E6C"/>
    <w:rsid w:val="00B9098E"/>
    <w:rsid w:val="00BE2235"/>
    <w:rsid w:val="00BE6FE9"/>
    <w:rsid w:val="00BF4D19"/>
    <w:rsid w:val="00C0477A"/>
    <w:rsid w:val="00C40EEA"/>
    <w:rsid w:val="00C4471C"/>
    <w:rsid w:val="00C63720"/>
    <w:rsid w:val="00C94C39"/>
    <w:rsid w:val="00CA5EA5"/>
    <w:rsid w:val="00CD2614"/>
    <w:rsid w:val="00D44F7D"/>
    <w:rsid w:val="00D51218"/>
    <w:rsid w:val="00D61343"/>
    <w:rsid w:val="00D701DE"/>
    <w:rsid w:val="00D72554"/>
    <w:rsid w:val="00D82B0B"/>
    <w:rsid w:val="00D95A78"/>
    <w:rsid w:val="00D9757A"/>
    <w:rsid w:val="00DA4F91"/>
    <w:rsid w:val="00DB6A61"/>
    <w:rsid w:val="00DE7EFB"/>
    <w:rsid w:val="00E32CF0"/>
    <w:rsid w:val="00E605F7"/>
    <w:rsid w:val="00E97694"/>
    <w:rsid w:val="00EB018E"/>
    <w:rsid w:val="00EB743B"/>
    <w:rsid w:val="00EC6313"/>
    <w:rsid w:val="00EF0BEB"/>
    <w:rsid w:val="00EF1C57"/>
    <w:rsid w:val="00EF49B4"/>
    <w:rsid w:val="00F331D3"/>
    <w:rsid w:val="00F40B08"/>
    <w:rsid w:val="00F5506D"/>
    <w:rsid w:val="00F647EF"/>
    <w:rsid w:val="00F8091A"/>
    <w:rsid w:val="00F850D2"/>
    <w:rsid w:val="00FB2702"/>
    <w:rsid w:val="00FD2FF6"/>
    <w:rsid w:val="00FE64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4250F896-805D-45FB-A1A7-168A52AFC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B4EE0"/>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066F8B"/>
    <w:pPr>
      <w:keepNext/>
      <w:keepLines/>
      <w:spacing w:before="240" w:after="0"/>
      <w:outlineLvl w:val="0"/>
    </w:pPr>
    <w:rPr>
      <w:rFonts w:asciiTheme="majorHAnsi" w:eastAsiaTheme="majorEastAsia" w:hAnsiTheme="majorHAnsi" w:cstheme="majorBidi"/>
      <w:color w:val="003366"/>
      <w:sz w:val="32"/>
      <w:szCs w:val="32"/>
    </w:rPr>
  </w:style>
  <w:style w:type="paragraph" w:styleId="Ttulo2">
    <w:name w:val="heading 2"/>
    <w:basedOn w:val="Normal"/>
    <w:next w:val="Normal"/>
    <w:link w:val="Ttulo2Car"/>
    <w:uiPriority w:val="9"/>
    <w:semiHidden/>
    <w:unhideWhenUsed/>
    <w:qFormat/>
    <w:rsid w:val="00066F8B"/>
    <w:pPr>
      <w:keepNext/>
      <w:keepLines/>
      <w:spacing w:before="40" w:after="0"/>
      <w:outlineLvl w:val="1"/>
    </w:pPr>
    <w:rPr>
      <w:rFonts w:asciiTheme="majorHAnsi" w:eastAsiaTheme="majorEastAsia" w:hAnsiTheme="majorHAnsi" w:cstheme="majorBidi"/>
      <w:color w:val="003366"/>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principal">
    <w:name w:val="Título principal"/>
    <w:basedOn w:val="Prrafodelista"/>
    <w:next w:val="Normal"/>
    <w:link w:val="TtuloprincipalCar"/>
    <w:qFormat/>
    <w:rsid w:val="00D44F7D"/>
    <w:pPr>
      <w:tabs>
        <w:tab w:val="left" w:pos="993"/>
      </w:tabs>
      <w:spacing w:before="120" w:after="480" w:line="240" w:lineRule="atLeast"/>
      <w:ind w:left="0"/>
    </w:pPr>
    <w:rPr>
      <w:rFonts w:ascii="Open Sans Light" w:hAnsi="Open Sans Light" w:cs="Arial"/>
      <w:color w:val="002E5D"/>
      <w:sz w:val="36"/>
      <w:szCs w:val="36"/>
    </w:rPr>
  </w:style>
  <w:style w:type="paragraph" w:customStyle="1" w:styleId="Ttulosecundario">
    <w:name w:val="Título secundario"/>
    <w:basedOn w:val="Ttuloprincipal"/>
    <w:next w:val="Normal"/>
    <w:qFormat/>
    <w:rsid w:val="001640C1"/>
    <w:pPr>
      <w:numPr>
        <w:ilvl w:val="2"/>
      </w:numPr>
      <w:tabs>
        <w:tab w:val="num" w:pos="360"/>
        <w:tab w:val="left" w:pos="1134"/>
      </w:tabs>
      <w:spacing w:after="360"/>
      <w:ind w:left="1134" w:hanging="1077"/>
      <w:contextualSpacing w:val="0"/>
    </w:pPr>
    <w:rPr>
      <w:color w:val="808080"/>
      <w:sz w:val="32"/>
      <w:szCs w:val="32"/>
    </w:rPr>
  </w:style>
  <w:style w:type="character" w:customStyle="1" w:styleId="TtuloprincipalCar">
    <w:name w:val="Título principal Car"/>
    <w:basedOn w:val="Fuentedeprrafopredeter"/>
    <w:link w:val="Ttuloprincipal"/>
    <w:rsid w:val="00D44F7D"/>
    <w:rPr>
      <w:rFonts w:ascii="Open Sans Light" w:eastAsia="Calibri" w:hAnsi="Open Sans Light" w:cs="Arial"/>
      <w:color w:val="002E5D"/>
      <w:sz w:val="36"/>
      <w:szCs w:val="36"/>
    </w:rPr>
  </w:style>
  <w:style w:type="paragraph" w:customStyle="1" w:styleId="Ejemplo">
    <w:name w:val="Ejemplo"/>
    <w:basedOn w:val="Normal"/>
    <w:next w:val="Normal"/>
    <w:link w:val="EjemploCar"/>
    <w:qFormat/>
    <w:rsid w:val="0079555B"/>
    <w:pPr>
      <w:spacing w:before="240" w:after="240" w:line="324" w:lineRule="auto"/>
    </w:pPr>
    <w:rPr>
      <w:rFonts w:ascii="Open Sans" w:hAnsi="Open Sans" w:cs="Arial"/>
      <w:i/>
      <w:color w:val="FF6C00"/>
      <w:sz w:val="20"/>
      <w:szCs w:val="18"/>
    </w:rPr>
  </w:style>
  <w:style w:type="character" w:customStyle="1" w:styleId="EjemploCar">
    <w:name w:val="Ejemplo Car"/>
    <w:basedOn w:val="Fuentedeprrafopredeter"/>
    <w:link w:val="Ejemplo"/>
    <w:rsid w:val="0079555B"/>
    <w:rPr>
      <w:rFonts w:ascii="Open Sans" w:eastAsia="Calibri" w:hAnsi="Open Sans" w:cs="Arial"/>
      <w:i/>
      <w:color w:val="FF6C00"/>
      <w:sz w:val="20"/>
      <w:szCs w:val="18"/>
    </w:rPr>
  </w:style>
  <w:style w:type="paragraph" w:styleId="Prrafodelista">
    <w:name w:val="List Paragraph"/>
    <w:basedOn w:val="Normal"/>
    <w:uiPriority w:val="34"/>
    <w:qFormat/>
    <w:rsid w:val="001640C1"/>
    <w:pPr>
      <w:ind w:left="720"/>
      <w:contextualSpacing/>
    </w:pPr>
  </w:style>
  <w:style w:type="paragraph" w:customStyle="1" w:styleId="TtuloIntro">
    <w:name w:val="Título Intro"/>
    <w:basedOn w:val="Ttuloprincipal"/>
    <w:link w:val="TtuloIntroCar"/>
    <w:qFormat/>
    <w:rsid w:val="0056432A"/>
    <w:pPr>
      <w:numPr>
        <w:numId w:val="21"/>
      </w:numPr>
      <w:pBdr>
        <w:bottom w:val="single" w:sz="8" w:space="1" w:color="002E5D"/>
      </w:pBdr>
    </w:pPr>
    <w:rPr>
      <w:rFonts w:cs="Open Sans Light"/>
      <w:caps/>
      <w:szCs w:val="48"/>
      <w:u w:color="2BB7FF"/>
    </w:rPr>
  </w:style>
  <w:style w:type="paragraph" w:styleId="Encabezado">
    <w:name w:val="header"/>
    <w:basedOn w:val="Normal"/>
    <w:link w:val="EncabezadoCar"/>
    <w:uiPriority w:val="99"/>
    <w:unhideWhenUsed/>
    <w:rsid w:val="0043591E"/>
    <w:pPr>
      <w:tabs>
        <w:tab w:val="center" w:pos="4252"/>
        <w:tab w:val="right" w:pos="8504"/>
      </w:tabs>
      <w:spacing w:after="0" w:line="240" w:lineRule="auto"/>
    </w:pPr>
  </w:style>
  <w:style w:type="character" w:customStyle="1" w:styleId="TtuloIntroCar">
    <w:name w:val="Título Intro Car"/>
    <w:basedOn w:val="TtuloprincipalCar"/>
    <w:link w:val="TtuloIntro"/>
    <w:rsid w:val="0056432A"/>
    <w:rPr>
      <w:rFonts w:ascii="Open Sans Light" w:eastAsia="Calibri" w:hAnsi="Open Sans Light" w:cs="Open Sans Light"/>
      <w:caps/>
      <w:color w:val="002E5D"/>
      <w:sz w:val="36"/>
      <w:szCs w:val="48"/>
      <w:u w:color="2BB7FF"/>
    </w:rPr>
  </w:style>
  <w:style w:type="character" w:customStyle="1" w:styleId="EncabezadoCar">
    <w:name w:val="Encabezado Car"/>
    <w:basedOn w:val="Fuentedeprrafopredeter"/>
    <w:link w:val="Encabezado"/>
    <w:uiPriority w:val="99"/>
    <w:rsid w:val="0043591E"/>
  </w:style>
  <w:style w:type="paragraph" w:styleId="Piedepgina">
    <w:name w:val="footer"/>
    <w:basedOn w:val="Normal"/>
    <w:link w:val="PiedepginaCar"/>
    <w:uiPriority w:val="99"/>
    <w:unhideWhenUsed/>
    <w:rsid w:val="0043591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3591E"/>
  </w:style>
  <w:style w:type="paragraph" w:customStyle="1" w:styleId="TextoGenrico">
    <w:name w:val="Texto_Genérico"/>
    <w:basedOn w:val="Ejemplo"/>
    <w:link w:val="TextoGenricoCar"/>
    <w:rsid w:val="0055579F"/>
    <w:pPr>
      <w:spacing w:line="360" w:lineRule="auto"/>
    </w:pPr>
    <w:rPr>
      <w:rFonts w:cs="Open Sans Light"/>
      <w:i w:val="0"/>
      <w:color w:val="808080" w:themeColor="background1" w:themeShade="80"/>
      <w:szCs w:val="24"/>
    </w:rPr>
  </w:style>
  <w:style w:type="table" w:styleId="Tablaconcuadrcula">
    <w:name w:val="Table Grid"/>
    <w:basedOn w:val="Tablanormal"/>
    <w:uiPriority w:val="39"/>
    <w:rsid w:val="007A7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GenricoCar">
    <w:name w:val="Texto_Genérico Car"/>
    <w:basedOn w:val="EjemploCar"/>
    <w:link w:val="TextoGenrico"/>
    <w:rsid w:val="0055579F"/>
    <w:rPr>
      <w:rFonts w:ascii="Open Sans" w:eastAsia="Calibri" w:hAnsi="Open Sans" w:cs="Open Sans Light"/>
      <w:i w:val="0"/>
      <w:color w:val="808080" w:themeColor="background1" w:themeShade="80"/>
      <w:sz w:val="20"/>
      <w:szCs w:val="24"/>
    </w:rPr>
  </w:style>
  <w:style w:type="paragraph" w:customStyle="1" w:styleId="NumeroPortada">
    <w:name w:val="Numero Portada"/>
    <w:basedOn w:val="Normal"/>
    <w:link w:val="NumeroPortadaCar"/>
    <w:qFormat/>
    <w:rsid w:val="00DE7EFB"/>
    <w:pPr>
      <w:spacing w:after="360"/>
      <w:ind w:right="284"/>
      <w:jc w:val="right"/>
    </w:pPr>
    <w:rPr>
      <w:rFonts w:ascii="Open Sans" w:hAnsi="Open Sans" w:cs="Open Sans"/>
      <w:b/>
      <w:color w:val="FFFFFF" w:themeColor="background1"/>
      <w:sz w:val="212"/>
      <w:szCs w:val="212"/>
    </w:rPr>
  </w:style>
  <w:style w:type="paragraph" w:customStyle="1" w:styleId="TituloPrincipalPortada">
    <w:name w:val="Titulo Principal Portada"/>
    <w:basedOn w:val="Normal"/>
    <w:link w:val="TituloPrincipalPortadaCar"/>
    <w:qFormat/>
    <w:rsid w:val="0079555B"/>
    <w:pPr>
      <w:spacing w:after="0"/>
    </w:pPr>
    <w:rPr>
      <w:rFonts w:ascii="Open Sans" w:hAnsi="Open Sans"/>
      <w:b/>
      <w:caps/>
      <w:color w:val="FF6C00"/>
      <w:sz w:val="32"/>
    </w:rPr>
  </w:style>
  <w:style w:type="character" w:customStyle="1" w:styleId="NumeroPortadaCar">
    <w:name w:val="Numero Portada Car"/>
    <w:basedOn w:val="Fuentedeprrafopredeter"/>
    <w:link w:val="NumeroPortada"/>
    <w:rsid w:val="00DE7EFB"/>
    <w:rPr>
      <w:rFonts w:ascii="Open Sans" w:hAnsi="Open Sans" w:cs="Open Sans"/>
      <w:b/>
      <w:color w:val="FFFFFF" w:themeColor="background1"/>
      <w:sz w:val="212"/>
      <w:szCs w:val="212"/>
    </w:rPr>
  </w:style>
  <w:style w:type="paragraph" w:customStyle="1" w:styleId="SubtituloPortada">
    <w:name w:val="Subtitulo Portada"/>
    <w:basedOn w:val="TituloPrincipalPortada"/>
    <w:link w:val="SubtituloPortadaCar"/>
    <w:qFormat/>
    <w:rsid w:val="0079555B"/>
    <w:pPr>
      <w:keepLines/>
      <w:suppressAutoHyphens/>
      <w:spacing w:line="0" w:lineRule="atLeast"/>
    </w:pPr>
    <w:rPr>
      <w:b w:val="0"/>
      <w:caps w:val="0"/>
      <w:sz w:val="36"/>
    </w:rPr>
  </w:style>
  <w:style w:type="character" w:customStyle="1" w:styleId="TituloPrincipalPortadaCar">
    <w:name w:val="Titulo Principal Portada Car"/>
    <w:basedOn w:val="Fuentedeprrafopredeter"/>
    <w:link w:val="TituloPrincipalPortada"/>
    <w:rsid w:val="0079555B"/>
    <w:rPr>
      <w:rFonts w:ascii="Open Sans" w:eastAsia="Calibri" w:hAnsi="Open Sans" w:cs="Times New Roman"/>
      <w:b/>
      <w:caps/>
      <w:color w:val="FF6C00"/>
      <w:sz w:val="32"/>
    </w:rPr>
  </w:style>
  <w:style w:type="paragraph" w:customStyle="1" w:styleId="CapituloPortada">
    <w:name w:val="Capitulo Portada"/>
    <w:basedOn w:val="SubtituloPortada"/>
    <w:link w:val="CapituloPortadaCar"/>
    <w:qFormat/>
    <w:rsid w:val="00D44F7D"/>
    <w:rPr>
      <w:rFonts w:ascii="Open Sans Light" w:hAnsi="Open Sans Light"/>
      <w:color w:val="002E5D"/>
      <w:sz w:val="64"/>
    </w:rPr>
  </w:style>
  <w:style w:type="character" w:customStyle="1" w:styleId="SubtituloPortadaCar">
    <w:name w:val="Subtitulo Portada Car"/>
    <w:basedOn w:val="TituloPrincipalPortadaCar"/>
    <w:link w:val="SubtituloPortada"/>
    <w:rsid w:val="0079555B"/>
    <w:rPr>
      <w:rFonts w:ascii="Open Sans" w:eastAsia="Calibri" w:hAnsi="Open Sans" w:cs="Times New Roman"/>
      <w:b w:val="0"/>
      <w:caps w:val="0"/>
      <w:color w:val="FF6C00"/>
      <w:sz w:val="36"/>
    </w:rPr>
  </w:style>
  <w:style w:type="paragraph" w:styleId="Textodeglobo">
    <w:name w:val="Balloon Text"/>
    <w:basedOn w:val="Normal"/>
    <w:link w:val="TextodegloboCar"/>
    <w:uiPriority w:val="99"/>
    <w:semiHidden/>
    <w:unhideWhenUsed/>
    <w:rsid w:val="00560444"/>
    <w:pPr>
      <w:spacing w:after="0" w:line="240" w:lineRule="auto"/>
    </w:pPr>
    <w:rPr>
      <w:rFonts w:ascii="Segoe UI" w:hAnsi="Segoe UI" w:cs="Segoe UI"/>
      <w:sz w:val="18"/>
      <w:szCs w:val="18"/>
    </w:rPr>
  </w:style>
  <w:style w:type="character" w:customStyle="1" w:styleId="CapituloPortadaCar">
    <w:name w:val="Capitulo Portada Car"/>
    <w:basedOn w:val="SubtituloPortadaCar"/>
    <w:link w:val="CapituloPortada"/>
    <w:rsid w:val="00D44F7D"/>
    <w:rPr>
      <w:rFonts w:ascii="Open Sans Light" w:eastAsia="Calibri" w:hAnsi="Open Sans Light" w:cs="Times New Roman"/>
      <w:b w:val="0"/>
      <w:caps w:val="0"/>
      <w:color w:val="002E5D"/>
      <w:sz w:val="64"/>
    </w:rPr>
  </w:style>
  <w:style w:type="character" w:customStyle="1" w:styleId="TextodegloboCar">
    <w:name w:val="Texto de globo Car"/>
    <w:basedOn w:val="Fuentedeprrafopredeter"/>
    <w:link w:val="Textodeglobo"/>
    <w:uiPriority w:val="99"/>
    <w:semiHidden/>
    <w:rsid w:val="00560444"/>
    <w:rPr>
      <w:rFonts w:ascii="Segoe UI" w:hAnsi="Segoe UI" w:cs="Segoe UI"/>
      <w:sz w:val="18"/>
      <w:szCs w:val="18"/>
    </w:rPr>
  </w:style>
  <w:style w:type="paragraph" w:customStyle="1" w:styleId="Listanumerada">
    <w:name w:val="Lista numerada"/>
    <w:basedOn w:val="TextoGenrico"/>
    <w:link w:val="ListanumeradaCar"/>
    <w:qFormat/>
    <w:rsid w:val="0079555B"/>
    <w:pPr>
      <w:numPr>
        <w:numId w:val="13"/>
      </w:numPr>
      <w:spacing w:line="480" w:lineRule="auto"/>
      <w:contextualSpacing/>
    </w:pPr>
  </w:style>
  <w:style w:type="paragraph" w:customStyle="1" w:styleId="Listado">
    <w:name w:val="Listado"/>
    <w:basedOn w:val="TextoGenrico"/>
    <w:link w:val="ListadoCar"/>
    <w:uiPriority w:val="99"/>
    <w:qFormat/>
    <w:rsid w:val="0079555B"/>
    <w:pPr>
      <w:numPr>
        <w:numId w:val="11"/>
      </w:numPr>
      <w:spacing w:before="0" w:after="120" w:line="288" w:lineRule="auto"/>
      <w:ind w:right="284"/>
      <w:mirrorIndents/>
    </w:pPr>
  </w:style>
  <w:style w:type="character" w:customStyle="1" w:styleId="ListanumeradaCar">
    <w:name w:val="Lista numerada Car"/>
    <w:basedOn w:val="TextoGenricoCar"/>
    <w:link w:val="Listanumerada"/>
    <w:rsid w:val="00033FC1"/>
    <w:rPr>
      <w:rFonts w:ascii="Open Sans Light" w:eastAsia="Calibri" w:hAnsi="Open Sans Light" w:cs="Open Sans Light"/>
      <w:i w:val="0"/>
      <w:color w:val="2BB7FF"/>
      <w:sz w:val="20"/>
      <w:szCs w:val="24"/>
    </w:rPr>
  </w:style>
  <w:style w:type="character" w:customStyle="1" w:styleId="ListadoCar">
    <w:name w:val="Listado Car"/>
    <w:basedOn w:val="TextoGenricoCar"/>
    <w:link w:val="Listado"/>
    <w:uiPriority w:val="99"/>
    <w:rsid w:val="00B617DE"/>
    <w:rPr>
      <w:rFonts w:ascii="Open Sans" w:eastAsia="Calibri" w:hAnsi="Open Sans" w:cs="Open Sans Light"/>
      <w:i w:val="0"/>
      <w:color w:val="808080" w:themeColor="background1" w:themeShade="80"/>
      <w:sz w:val="20"/>
      <w:szCs w:val="24"/>
    </w:rPr>
  </w:style>
  <w:style w:type="paragraph" w:customStyle="1" w:styleId="TextoNomal">
    <w:name w:val="Texto Nomal"/>
    <w:basedOn w:val="Normal"/>
    <w:link w:val="TextoNomalCar"/>
    <w:qFormat/>
    <w:rsid w:val="00B617DE"/>
    <w:pPr>
      <w:spacing w:before="120" w:after="240" w:line="288" w:lineRule="auto"/>
      <w:jc w:val="both"/>
    </w:pPr>
    <w:rPr>
      <w:rFonts w:ascii="Open Sans" w:hAnsi="Open Sans" w:cs="Arial"/>
      <w:color w:val="808080" w:themeColor="background1" w:themeShade="80"/>
      <w:sz w:val="20"/>
      <w:szCs w:val="24"/>
    </w:rPr>
  </w:style>
  <w:style w:type="character" w:customStyle="1" w:styleId="TextoNomalCar">
    <w:name w:val="Texto Nomal Car"/>
    <w:basedOn w:val="Fuentedeprrafopredeter"/>
    <w:link w:val="TextoNomal"/>
    <w:rsid w:val="00B617DE"/>
    <w:rPr>
      <w:rFonts w:ascii="Open Sans" w:eastAsia="Calibri" w:hAnsi="Open Sans" w:cs="Arial"/>
      <w:color w:val="808080" w:themeColor="background1" w:themeShade="80"/>
      <w:sz w:val="20"/>
      <w:szCs w:val="24"/>
    </w:rPr>
  </w:style>
  <w:style w:type="paragraph" w:customStyle="1" w:styleId="Legislacin">
    <w:name w:val="Legislación"/>
    <w:basedOn w:val="Normal"/>
    <w:link w:val="LegislacinCar"/>
    <w:qFormat/>
    <w:rsid w:val="00066F8B"/>
    <w:pPr>
      <w:spacing w:after="100" w:line="240" w:lineRule="auto"/>
    </w:pPr>
    <w:rPr>
      <w:rFonts w:ascii="Open Sans Light" w:hAnsi="Open Sans Light" w:cs="Arial"/>
      <w:i/>
      <w:color w:val="A6A6A6"/>
      <w:sz w:val="20"/>
      <w:szCs w:val="20"/>
    </w:rPr>
  </w:style>
  <w:style w:type="character" w:customStyle="1" w:styleId="LegislacinCar">
    <w:name w:val="Legislación Car"/>
    <w:basedOn w:val="Fuentedeprrafopredeter"/>
    <w:link w:val="Legislacin"/>
    <w:rsid w:val="00066F8B"/>
    <w:rPr>
      <w:rFonts w:ascii="Open Sans Light" w:eastAsia="Calibri" w:hAnsi="Open Sans Light" w:cs="Arial"/>
      <w:i/>
      <w:color w:val="A6A6A6"/>
      <w:sz w:val="20"/>
      <w:szCs w:val="20"/>
    </w:rPr>
  </w:style>
  <w:style w:type="paragraph" w:customStyle="1" w:styleId="ListadoLetras">
    <w:name w:val="Listado_Letras"/>
    <w:basedOn w:val="TextoGenrico"/>
    <w:link w:val="ListadoLetrasCar"/>
    <w:qFormat/>
    <w:rsid w:val="00321D5D"/>
    <w:pPr>
      <w:numPr>
        <w:numId w:val="20"/>
      </w:numPr>
    </w:pPr>
  </w:style>
  <w:style w:type="paragraph" w:customStyle="1" w:styleId="Caja">
    <w:name w:val="Caja"/>
    <w:basedOn w:val="TextoGenrico"/>
    <w:link w:val="CajaCar"/>
    <w:qFormat/>
    <w:rsid w:val="0079555B"/>
    <w:pPr>
      <w:pBdr>
        <w:top w:val="single" w:sz="4" w:space="10" w:color="FF6C00"/>
        <w:left w:val="single" w:sz="4" w:space="10" w:color="FF6C00"/>
        <w:bottom w:val="single" w:sz="4" w:space="10" w:color="FF6C00"/>
        <w:right w:val="single" w:sz="4" w:space="10" w:color="FF6C00"/>
      </w:pBdr>
      <w:autoSpaceDE w:val="0"/>
      <w:autoSpaceDN w:val="0"/>
      <w:adjustRightInd w:val="0"/>
      <w:spacing w:before="0" w:line="288" w:lineRule="auto"/>
      <w:jc w:val="both"/>
    </w:pPr>
    <w:rPr>
      <w:rFonts w:cs="Arial"/>
    </w:rPr>
  </w:style>
  <w:style w:type="character" w:customStyle="1" w:styleId="ListadoLetrasCar">
    <w:name w:val="Listado_Letras Car"/>
    <w:basedOn w:val="TextoGenricoCar"/>
    <w:link w:val="ListadoLetras"/>
    <w:rsid w:val="00321D5D"/>
    <w:rPr>
      <w:rFonts w:ascii="Open Sans Light" w:eastAsia="Calibri" w:hAnsi="Open Sans Light" w:cs="Open Sans Light"/>
      <w:i w:val="0"/>
      <w:color w:val="2BB7FF"/>
      <w:sz w:val="20"/>
      <w:szCs w:val="24"/>
    </w:rPr>
  </w:style>
  <w:style w:type="paragraph" w:customStyle="1" w:styleId="Tituloicono">
    <w:name w:val="Titulo icono"/>
    <w:link w:val="TituloiconoCar"/>
    <w:qFormat/>
    <w:rsid w:val="0079555B"/>
    <w:pPr>
      <w:numPr>
        <w:numId w:val="33"/>
      </w:numPr>
      <w:pBdr>
        <w:left w:val="single" w:sz="24" w:space="4" w:color="FF6C00"/>
      </w:pBdr>
      <w:spacing w:before="120" w:after="120" w:line="240" w:lineRule="auto"/>
      <w:ind w:left="714" w:hanging="357"/>
    </w:pPr>
    <w:rPr>
      <w:rFonts w:ascii="Open Sans" w:eastAsia="Calibri" w:hAnsi="Open Sans" w:cs="Open Sans"/>
      <w:sz w:val="20"/>
      <w:szCs w:val="24"/>
    </w:rPr>
  </w:style>
  <w:style w:type="character" w:customStyle="1" w:styleId="CajaCar">
    <w:name w:val="Caja Car"/>
    <w:basedOn w:val="Fuentedeprrafopredeter"/>
    <w:link w:val="Caja"/>
    <w:rsid w:val="0079555B"/>
    <w:rPr>
      <w:rFonts w:ascii="Open Sans" w:eastAsia="Calibri" w:hAnsi="Open Sans" w:cs="Arial"/>
      <w:color w:val="808080" w:themeColor="background1" w:themeShade="80"/>
      <w:sz w:val="20"/>
      <w:szCs w:val="24"/>
    </w:rPr>
  </w:style>
  <w:style w:type="paragraph" w:customStyle="1" w:styleId="Ejemplo2">
    <w:name w:val="Ejemplo2"/>
    <w:basedOn w:val="Listado"/>
    <w:link w:val="Ejemplo2Car"/>
    <w:qFormat/>
    <w:rsid w:val="009358FF"/>
    <w:pPr>
      <w:numPr>
        <w:numId w:val="0"/>
      </w:numPr>
      <w:ind w:left="709"/>
    </w:pPr>
    <w:rPr>
      <w:rFonts w:ascii="Courier New" w:hAnsi="Courier New"/>
      <w:sz w:val="18"/>
    </w:rPr>
  </w:style>
  <w:style w:type="character" w:customStyle="1" w:styleId="TituloiconoCar">
    <w:name w:val="Titulo icono Car"/>
    <w:basedOn w:val="ListadoCar"/>
    <w:link w:val="Tituloicono"/>
    <w:rsid w:val="0079555B"/>
    <w:rPr>
      <w:rFonts w:ascii="Open Sans" w:eastAsia="Calibri" w:hAnsi="Open Sans" w:cs="Open Sans"/>
      <w:i w:val="0"/>
      <w:color w:val="808080" w:themeColor="background1" w:themeShade="80"/>
      <w:sz w:val="20"/>
      <w:szCs w:val="24"/>
    </w:rPr>
  </w:style>
  <w:style w:type="character" w:styleId="Textoennegrita">
    <w:name w:val="Strong"/>
    <w:basedOn w:val="Fuentedeprrafopredeter"/>
    <w:uiPriority w:val="22"/>
    <w:qFormat/>
    <w:rsid w:val="00066F8B"/>
    <w:rPr>
      <w:rFonts w:ascii="Open Sans Semibold" w:hAnsi="Open Sans Semibold"/>
      <w:b w:val="0"/>
      <w:bCs/>
      <w:color w:val="000000" w:themeColor="text1"/>
    </w:rPr>
  </w:style>
  <w:style w:type="character" w:customStyle="1" w:styleId="Ejemplo2Car">
    <w:name w:val="Ejemplo2 Car"/>
    <w:basedOn w:val="ListadoCar"/>
    <w:link w:val="Ejemplo2"/>
    <w:rsid w:val="009358FF"/>
    <w:rPr>
      <w:rFonts w:ascii="Courier New" w:eastAsia="Calibri" w:hAnsi="Courier New" w:cs="Open Sans Light"/>
      <w:i w:val="0"/>
      <w:color w:val="2BB7FF"/>
      <w:sz w:val="18"/>
      <w:szCs w:val="24"/>
    </w:rPr>
  </w:style>
  <w:style w:type="paragraph" w:styleId="Cita">
    <w:name w:val="Quote"/>
    <w:basedOn w:val="Normal"/>
    <w:next w:val="Normal"/>
    <w:link w:val="CitaCar"/>
    <w:uiPriority w:val="29"/>
    <w:qFormat/>
    <w:rsid w:val="00A5384F"/>
    <w:pPr>
      <w:spacing w:before="200" w:after="160"/>
      <w:ind w:left="864" w:right="864"/>
      <w:jc w:val="center"/>
    </w:pPr>
    <w:rPr>
      <w:rFonts w:ascii="Open Sans Light" w:hAnsi="Open Sans Light"/>
      <w:i/>
      <w:iCs/>
      <w:color w:val="404040" w:themeColor="text1" w:themeTint="BF"/>
    </w:rPr>
  </w:style>
  <w:style w:type="character" w:customStyle="1" w:styleId="CitaCar">
    <w:name w:val="Cita Car"/>
    <w:basedOn w:val="Fuentedeprrafopredeter"/>
    <w:link w:val="Cita"/>
    <w:uiPriority w:val="29"/>
    <w:rsid w:val="00A5384F"/>
    <w:rPr>
      <w:rFonts w:ascii="Open Sans Light" w:eastAsia="Calibri" w:hAnsi="Open Sans Light" w:cs="Times New Roman"/>
      <w:i/>
      <w:iCs/>
      <w:color w:val="404040" w:themeColor="text1" w:themeTint="BF"/>
    </w:rPr>
  </w:style>
  <w:style w:type="paragraph" w:styleId="Citadestacada">
    <w:name w:val="Intense Quote"/>
    <w:basedOn w:val="Normal"/>
    <w:next w:val="Normal"/>
    <w:link w:val="CitadestacadaCar"/>
    <w:uiPriority w:val="30"/>
    <w:qFormat/>
    <w:rsid w:val="00066F8B"/>
    <w:pPr>
      <w:pBdr>
        <w:top w:val="single" w:sz="4" w:space="10" w:color="5B9BD5" w:themeColor="accent1"/>
        <w:bottom w:val="single" w:sz="4" w:space="10" w:color="5B9BD5" w:themeColor="accent1"/>
      </w:pBdr>
      <w:spacing w:before="360" w:after="360"/>
      <w:ind w:left="864" w:right="864"/>
      <w:jc w:val="center"/>
    </w:pPr>
    <w:rPr>
      <w:rFonts w:ascii="Open Sans Light" w:hAnsi="Open Sans Light"/>
      <w:i/>
      <w:iCs/>
      <w:color w:val="003366"/>
    </w:rPr>
  </w:style>
  <w:style w:type="character" w:customStyle="1" w:styleId="CitadestacadaCar">
    <w:name w:val="Cita destacada Car"/>
    <w:basedOn w:val="Fuentedeprrafopredeter"/>
    <w:link w:val="Citadestacada"/>
    <w:uiPriority w:val="30"/>
    <w:rsid w:val="00066F8B"/>
    <w:rPr>
      <w:rFonts w:ascii="Open Sans Light" w:eastAsia="Calibri" w:hAnsi="Open Sans Light" w:cs="Times New Roman"/>
      <w:i/>
      <w:iCs/>
      <w:color w:val="003366"/>
    </w:rPr>
  </w:style>
  <w:style w:type="character" w:styleId="Referenciasutil">
    <w:name w:val="Subtle Reference"/>
    <w:basedOn w:val="Fuentedeprrafopredeter"/>
    <w:uiPriority w:val="31"/>
    <w:qFormat/>
    <w:rsid w:val="00A5384F"/>
    <w:rPr>
      <w:rFonts w:ascii="Open Sans Light" w:hAnsi="Open Sans Light"/>
      <w:smallCaps/>
      <w:color w:val="5A5A5A" w:themeColor="text1" w:themeTint="A5"/>
    </w:rPr>
  </w:style>
  <w:style w:type="character" w:styleId="Referenciaintensa">
    <w:name w:val="Intense Reference"/>
    <w:basedOn w:val="Fuentedeprrafopredeter"/>
    <w:uiPriority w:val="32"/>
    <w:qFormat/>
    <w:rsid w:val="0079555B"/>
    <w:rPr>
      <w:rFonts w:ascii="Open Sans Light" w:hAnsi="Open Sans Light"/>
      <w:b/>
      <w:bCs/>
      <w:smallCaps/>
      <w:color w:val="FF6C00"/>
      <w:spacing w:val="5"/>
    </w:rPr>
  </w:style>
  <w:style w:type="paragraph" w:customStyle="1" w:styleId="TituloObjetivs">
    <w:name w:val="Titulo Objetivs"/>
    <w:basedOn w:val="TtuloIntro"/>
    <w:qFormat/>
    <w:rsid w:val="0056432A"/>
    <w:pPr>
      <w:numPr>
        <w:numId w:val="22"/>
      </w:numPr>
    </w:pPr>
  </w:style>
  <w:style w:type="paragraph" w:customStyle="1" w:styleId="TituloContenido">
    <w:name w:val="Titulo Contenido"/>
    <w:basedOn w:val="TituloObjetivs"/>
    <w:qFormat/>
    <w:rsid w:val="00B617DE"/>
    <w:pPr>
      <w:numPr>
        <w:numId w:val="23"/>
      </w:numPr>
      <w:ind w:left="357" w:hanging="357"/>
    </w:pPr>
  </w:style>
  <w:style w:type="character" w:styleId="Hipervnculo">
    <w:name w:val="Hyperlink"/>
    <w:basedOn w:val="Fuentedeprrafopredeter"/>
    <w:uiPriority w:val="99"/>
    <w:unhideWhenUsed/>
    <w:rsid w:val="00D61343"/>
    <w:rPr>
      <w:color w:val="0563C1" w:themeColor="hyperlink"/>
      <w:u w:val="single"/>
    </w:rPr>
  </w:style>
  <w:style w:type="character" w:styleId="Hipervnculovisitado">
    <w:name w:val="FollowedHyperlink"/>
    <w:basedOn w:val="Fuentedeprrafopredeter"/>
    <w:uiPriority w:val="99"/>
    <w:semiHidden/>
    <w:unhideWhenUsed/>
    <w:rsid w:val="00A247A1"/>
    <w:rPr>
      <w:color w:val="954F72" w:themeColor="followedHyperlink"/>
      <w:u w:val="single"/>
    </w:rPr>
  </w:style>
  <w:style w:type="character" w:customStyle="1" w:styleId="Ttulo1Car">
    <w:name w:val="Título 1 Car"/>
    <w:basedOn w:val="Fuentedeprrafopredeter"/>
    <w:link w:val="Ttulo1"/>
    <w:uiPriority w:val="9"/>
    <w:rsid w:val="00066F8B"/>
    <w:rPr>
      <w:rFonts w:asciiTheme="majorHAnsi" w:eastAsiaTheme="majorEastAsia" w:hAnsiTheme="majorHAnsi" w:cstheme="majorBidi"/>
      <w:color w:val="003366"/>
      <w:sz w:val="32"/>
      <w:szCs w:val="32"/>
    </w:rPr>
  </w:style>
  <w:style w:type="character" w:customStyle="1" w:styleId="Ttulo2Car">
    <w:name w:val="Título 2 Car"/>
    <w:basedOn w:val="Fuentedeprrafopredeter"/>
    <w:link w:val="Ttulo2"/>
    <w:uiPriority w:val="9"/>
    <w:semiHidden/>
    <w:rsid w:val="00066F8B"/>
    <w:rPr>
      <w:rFonts w:asciiTheme="majorHAnsi" w:eastAsiaTheme="majorEastAsia" w:hAnsiTheme="majorHAnsi" w:cstheme="majorBidi"/>
      <w:color w:val="003366"/>
      <w:sz w:val="26"/>
      <w:szCs w:val="26"/>
    </w:rPr>
  </w:style>
  <w:style w:type="character" w:styleId="nfasisintenso">
    <w:name w:val="Intense Emphasis"/>
    <w:basedOn w:val="Fuentedeprrafopredeter"/>
    <w:uiPriority w:val="21"/>
    <w:qFormat/>
    <w:rsid w:val="00066F8B"/>
    <w:rPr>
      <w:i/>
      <w:iCs/>
      <w:color w:val="003366"/>
    </w:rPr>
  </w:style>
  <w:style w:type="paragraph" w:customStyle="1" w:styleId="subrayado">
    <w:name w:val="subrayado"/>
    <w:basedOn w:val="TextoGenrico"/>
    <w:link w:val="subrayadoCar"/>
    <w:qFormat/>
    <w:rsid w:val="00F850D2"/>
    <w:rPr>
      <w:u w:val="single"/>
    </w:rPr>
  </w:style>
  <w:style w:type="character" w:customStyle="1" w:styleId="subrayadoCar">
    <w:name w:val="subrayado Car"/>
    <w:basedOn w:val="TextoGenricoCar"/>
    <w:link w:val="subrayado"/>
    <w:rsid w:val="00F850D2"/>
    <w:rPr>
      <w:rFonts w:ascii="Open Sans" w:eastAsia="Calibri" w:hAnsi="Open Sans" w:cs="Open Sans Light"/>
      <w:i w:val="0"/>
      <w:color w:val="808080" w:themeColor="background1" w:themeShade="80"/>
      <w:sz w:val="20"/>
      <w:szCs w:val="24"/>
      <w:u w:val="single"/>
    </w:rPr>
  </w:style>
  <w:style w:type="character" w:styleId="nfasis">
    <w:name w:val="Emphasis"/>
    <w:basedOn w:val="Fuentedeprrafopredeter"/>
    <w:uiPriority w:val="20"/>
    <w:qFormat/>
    <w:rsid w:val="00D44F7D"/>
    <w:rPr>
      <w:rFonts w:ascii="Open Sans" w:hAnsi="Open Sans"/>
      <w:i/>
      <w:iCs/>
    </w:rPr>
  </w:style>
  <w:style w:type="paragraph" w:customStyle="1" w:styleId="Enfasis-subrayado">
    <w:name w:val="Enfasis-subrayado"/>
    <w:basedOn w:val="TextoGenrico"/>
    <w:link w:val="Enfasis-subrayadoCar"/>
    <w:qFormat/>
    <w:rsid w:val="0055579F"/>
    <w:rPr>
      <w:i/>
      <w:u w:val="single"/>
    </w:rPr>
  </w:style>
  <w:style w:type="character" w:customStyle="1" w:styleId="Enfasis-subrayadoCar">
    <w:name w:val="Enfasis-subrayado Car"/>
    <w:basedOn w:val="TextoGenricoCar"/>
    <w:link w:val="Enfasis-subrayado"/>
    <w:rsid w:val="0055579F"/>
    <w:rPr>
      <w:rFonts w:ascii="Open Sans" w:eastAsia="Calibri" w:hAnsi="Open Sans" w:cs="Open Sans Light"/>
      <w:i/>
      <w:color w:val="808080" w:themeColor="background1" w:themeShade="80"/>
      <w:sz w:val="20"/>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espublico.com/files/intervencion/AT_Gu&#237;aEndeudamientoMINHAP.pdf" TargetMode="External"/><Relationship Id="rId4" Type="http://schemas.openxmlformats.org/officeDocument/2006/relationships/settings" Target="settings.xml"/><Relationship Id="rId9" Type="http://schemas.openxmlformats.org/officeDocument/2006/relationships/image" Target="media/image12.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wm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D999B-58F9-4C91-B786-C8DA40848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1880</Words>
  <Characters>10340</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Gestiona</dc:creator>
  <cp:lastModifiedBy>esPublico Gestiona</cp:lastModifiedBy>
  <cp:revision>3</cp:revision>
  <cp:lastPrinted>2016-02-19T11:26:00Z</cp:lastPrinted>
  <dcterms:created xsi:type="dcterms:W3CDTF">2017-10-02T10:07:00Z</dcterms:created>
  <dcterms:modified xsi:type="dcterms:W3CDTF">2017-10-02T10:11:00Z</dcterms:modified>
</cp:coreProperties>
</file>