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142" w:rsidRDefault="001A23CD" w:rsidP="00F30E19">
      <w:pPr>
        <w:pStyle w:val="Subttulo"/>
        <w:numPr>
          <w:ilvl w:val="0"/>
          <w:numId w:val="0"/>
        </w:numPr>
        <w:rPr>
          <w:rFonts w:ascii="Times New Roman" w:hAnsi="Times New Roman"/>
        </w:rPr>
      </w:pPr>
      <w:r>
        <w:t>Preguntas frecuentes (FAQs)</w:t>
      </w:r>
    </w:p>
    <w:p w:rsidR="00E37142" w:rsidRDefault="001A23CD" w:rsidP="001A23CD">
      <w:pPr>
        <w:pStyle w:val="Ttulo2"/>
      </w:pPr>
      <w:r>
        <w:t>Interesados</w:t>
      </w:r>
    </w:p>
    <w:p w:rsidR="001A23CD" w:rsidRPr="00A82129" w:rsidRDefault="001A23CD" w:rsidP="001A23CD">
      <w:pPr>
        <w:pStyle w:val="Ttulo3"/>
        <w:numPr>
          <w:ilvl w:val="0"/>
          <w:numId w:val="28"/>
        </w:numPr>
        <w:rPr>
          <w:lang w:val="es-AR"/>
        </w:rPr>
      </w:pPr>
      <w:r w:rsidRPr="00A82129">
        <w:rPr>
          <w:lang w:val="es-AR"/>
        </w:rPr>
        <w:t>¿</w:t>
      </w:r>
      <w:r>
        <w:rPr>
          <w:lang w:val="es-AR"/>
        </w:rPr>
        <w:t>Quiénes están obligados a relacionarse electrónicamente con las Administraciones Públicas según la nueva normativa?</w:t>
      </w:r>
    </w:p>
    <w:p w:rsidR="001A23CD" w:rsidRDefault="001A23CD" w:rsidP="001A23CD">
      <w:pPr>
        <w:spacing w:before="120" w:after="120"/>
        <w:jc w:val="both"/>
        <w:rPr>
          <w:lang w:val="es-AR"/>
        </w:rPr>
      </w:pPr>
      <w:r>
        <w:rPr>
          <w:lang w:val="es-AR"/>
        </w:rPr>
        <w:t>En todo caso, estarán obligados a relacionarse a través de medios electrónicos con las Administraciones Públicas para la realización de cualquier trámite de un procedimiento administrativo los siguientes sujetos:</w:t>
      </w:r>
    </w:p>
    <w:p w:rsidR="001A23CD" w:rsidRDefault="001A23CD" w:rsidP="001A23CD">
      <w:pPr>
        <w:pStyle w:val="Listado"/>
        <w:rPr>
          <w:lang w:val="es-AR"/>
        </w:rPr>
      </w:pPr>
      <w:r>
        <w:rPr>
          <w:lang w:val="es-AR"/>
        </w:rPr>
        <w:t>Las personas jurídicas.</w:t>
      </w:r>
    </w:p>
    <w:p w:rsidR="001A23CD" w:rsidRDefault="001A23CD" w:rsidP="001A23CD">
      <w:pPr>
        <w:pStyle w:val="Listado"/>
        <w:rPr>
          <w:lang w:val="es-AR"/>
        </w:rPr>
      </w:pPr>
      <w:r>
        <w:rPr>
          <w:lang w:val="es-AR"/>
        </w:rPr>
        <w:t>Las entidades sin personalidad jurídica.</w:t>
      </w:r>
    </w:p>
    <w:p w:rsidR="001A23CD" w:rsidRDefault="001A23CD" w:rsidP="001A23CD">
      <w:pPr>
        <w:pStyle w:val="Listado"/>
        <w:rPr>
          <w:lang w:val="es-AR"/>
        </w:rPr>
      </w:pPr>
      <w:r>
        <w:rPr>
          <w:lang w:val="es-AR"/>
        </w:rPr>
        <w:t>Quienes ejerzan una actividad profesional para la que se requiera colegiación obligatoria, para los trámites y actuaciones que realicen con las Administraciones Públicas en ejercicio de dicha actividad profesional. En todo caso, dentro de ese colectivo se entenderán incluidos los notarios y registradores de la propiedad y mercantiles.</w:t>
      </w:r>
    </w:p>
    <w:p w:rsidR="001A23CD" w:rsidRDefault="001A23CD" w:rsidP="001A23CD">
      <w:pPr>
        <w:pStyle w:val="Listado"/>
        <w:rPr>
          <w:lang w:val="es-AR"/>
        </w:rPr>
      </w:pPr>
      <w:r>
        <w:rPr>
          <w:lang w:val="es-AR"/>
        </w:rPr>
        <w:t>Quienes representen a un interesado que esté obligado a relacionarse electrónicamente con la Administración.</w:t>
      </w:r>
    </w:p>
    <w:p w:rsidR="001A23CD" w:rsidRDefault="001A23CD" w:rsidP="001A23CD">
      <w:pPr>
        <w:pStyle w:val="Listado"/>
        <w:rPr>
          <w:lang w:val="es-AR"/>
        </w:rPr>
      </w:pPr>
      <w:r>
        <w:rPr>
          <w:lang w:val="es-AR"/>
        </w:rPr>
        <w:t>Los empleados de las Administraciones Públicas para los trámites y actuaciones que realicen con ellas por razón de su condición de empleado público, en la forma en que se determine reglamentariamente por cada Administración.</w:t>
      </w:r>
    </w:p>
    <w:p w:rsidR="001A23CD" w:rsidRPr="00A31459" w:rsidRDefault="001A23CD" w:rsidP="001A23CD">
      <w:pPr>
        <w:pStyle w:val="Ttulo3"/>
        <w:numPr>
          <w:ilvl w:val="0"/>
          <w:numId w:val="28"/>
        </w:numPr>
        <w:rPr>
          <w:lang w:val="es-AR"/>
        </w:rPr>
      </w:pPr>
      <w:r w:rsidRPr="00A31459">
        <w:rPr>
          <w:lang w:val="es-AR"/>
        </w:rPr>
        <w:t>¿</w:t>
      </w:r>
      <w:r>
        <w:rPr>
          <w:lang w:val="es-AR"/>
        </w:rPr>
        <w:t>Pueden resultar otros sujetos obligados</w:t>
      </w:r>
      <w:r w:rsidRPr="00A31459">
        <w:rPr>
          <w:lang w:val="es-AR"/>
        </w:rPr>
        <w:t>?</w:t>
      </w:r>
    </w:p>
    <w:p w:rsidR="001A23CD" w:rsidRDefault="001A23CD" w:rsidP="001A23CD">
      <w:pPr>
        <w:spacing w:before="120" w:after="120"/>
        <w:jc w:val="both"/>
        <w:rPr>
          <w:lang w:val="es-AR"/>
        </w:rPr>
      </w:pPr>
      <w:r>
        <w:rPr>
          <w:lang w:val="es-AR"/>
        </w:rPr>
        <w:t>Las personas físicas podrán elegir en todo momento si se comunican con las Administraciones Públicas para el ejercicio de sus derechos y obligaciones a través de medios electrónicos o no, salvo que estén obligadas a relacionarse a través de medios electrónicos con las Administraciones Públicas.</w:t>
      </w:r>
    </w:p>
    <w:p w:rsidR="001A23CD" w:rsidRDefault="001A23CD" w:rsidP="001A23CD">
      <w:pPr>
        <w:spacing w:before="120" w:after="120"/>
        <w:jc w:val="both"/>
        <w:rPr>
          <w:lang w:val="es-AR"/>
        </w:rPr>
      </w:pPr>
      <w:r>
        <w:rPr>
          <w:lang w:val="es-AR"/>
        </w:rPr>
        <w:t xml:space="preserve">Reglamentariamente, las Administraciones podrán establecer la obligación de relacionarse con ellas a través de medios electrónicos para determinados procedimientos y para ciertos colectivos de personas físicas que por razón de su capacidad económica, técnica, dedicación profesional u otros motivos quede </w:t>
      </w:r>
      <w:r>
        <w:rPr>
          <w:lang w:val="es-AR"/>
        </w:rPr>
        <w:lastRenderedPageBreak/>
        <w:t>acreditado que tienen acceso y disponibilidad de los medios electrónicos necesarios.</w:t>
      </w:r>
    </w:p>
    <w:p w:rsidR="001A23CD" w:rsidRDefault="001A23CD" w:rsidP="001A23CD">
      <w:pPr>
        <w:spacing w:before="120" w:after="120"/>
        <w:ind w:firstLine="709"/>
        <w:jc w:val="both"/>
        <w:rPr>
          <w:lang w:val="es-AR"/>
        </w:rPr>
      </w:pPr>
    </w:p>
    <w:p w:rsidR="001A23CD" w:rsidRPr="00A31459" w:rsidRDefault="001A23CD" w:rsidP="001A23CD">
      <w:pPr>
        <w:pStyle w:val="Ttulo3"/>
        <w:numPr>
          <w:ilvl w:val="0"/>
          <w:numId w:val="28"/>
        </w:numPr>
        <w:rPr>
          <w:lang w:val="es-AR"/>
        </w:rPr>
      </w:pPr>
      <w:r w:rsidRPr="00A31459">
        <w:rPr>
          <w:lang w:val="es-AR"/>
        </w:rPr>
        <w:t>¿</w:t>
      </w:r>
      <w:r>
        <w:rPr>
          <w:lang w:val="es-AR"/>
        </w:rPr>
        <w:t>Qué derechos se reconocen a los interesados</w:t>
      </w:r>
      <w:r w:rsidRPr="00A31459">
        <w:rPr>
          <w:lang w:val="es-AR"/>
        </w:rPr>
        <w:t>?</w:t>
      </w:r>
    </w:p>
    <w:p w:rsidR="001A23CD" w:rsidRDefault="001A23CD" w:rsidP="001A23CD">
      <w:pPr>
        <w:spacing w:before="120" w:after="120"/>
        <w:jc w:val="both"/>
        <w:rPr>
          <w:lang w:val="es-AR"/>
        </w:rPr>
      </w:pPr>
      <w:r>
        <w:rPr>
          <w:lang w:val="es-AR"/>
        </w:rPr>
        <w:t>La LPACAP introduce, en relación con su predecesora, nuevos derechos relacionados con el nuevo régimen de Administración electrónica. Así, a modo de ejemplo, pueden señalarse los siguientes:</w:t>
      </w:r>
    </w:p>
    <w:p w:rsidR="001A23CD" w:rsidRDefault="001A23CD" w:rsidP="001A23CD">
      <w:pPr>
        <w:numPr>
          <w:ilvl w:val="0"/>
          <w:numId w:val="33"/>
        </w:numPr>
        <w:spacing w:before="120" w:after="120" w:line="240" w:lineRule="auto"/>
        <w:jc w:val="both"/>
        <w:rPr>
          <w:lang w:val="es-AR"/>
        </w:rPr>
      </w:pPr>
      <w:r>
        <w:rPr>
          <w:lang w:val="es-AR"/>
        </w:rPr>
        <w:t>Derecho a comunicarse con las Administraciones a través de un Punto de Acceso General Electrónico de la Administración.</w:t>
      </w:r>
    </w:p>
    <w:p w:rsidR="001A23CD" w:rsidRDefault="001A23CD" w:rsidP="001A23CD">
      <w:pPr>
        <w:numPr>
          <w:ilvl w:val="0"/>
          <w:numId w:val="33"/>
        </w:numPr>
        <w:spacing w:before="120" w:after="120" w:line="240" w:lineRule="auto"/>
        <w:jc w:val="both"/>
        <w:rPr>
          <w:lang w:val="es-AR"/>
        </w:rPr>
      </w:pPr>
      <w:r>
        <w:rPr>
          <w:lang w:val="es-AR"/>
        </w:rPr>
        <w:t>Derecho a ser asistidos en el uso de medios electrónicos en sus relaciones con las Administraciones Públicas.</w:t>
      </w:r>
    </w:p>
    <w:p w:rsidR="001A23CD" w:rsidRDefault="001A23CD" w:rsidP="001A23CD">
      <w:pPr>
        <w:numPr>
          <w:ilvl w:val="0"/>
          <w:numId w:val="33"/>
        </w:numPr>
        <w:spacing w:before="120" w:after="120" w:line="240" w:lineRule="auto"/>
        <w:jc w:val="both"/>
        <w:rPr>
          <w:lang w:val="es-AR"/>
        </w:rPr>
      </w:pPr>
      <w:r>
        <w:rPr>
          <w:lang w:val="es-AR"/>
        </w:rPr>
        <w:t>Derecho a la obtención y utilización de los medios de identificación y firma electrónica contemplados en la Ley.</w:t>
      </w:r>
    </w:p>
    <w:p w:rsidR="001A23CD" w:rsidRDefault="001A23CD" w:rsidP="001A23CD">
      <w:pPr>
        <w:numPr>
          <w:ilvl w:val="0"/>
          <w:numId w:val="33"/>
        </w:numPr>
        <w:spacing w:before="120" w:after="120" w:line="240" w:lineRule="auto"/>
        <w:jc w:val="both"/>
        <w:rPr>
          <w:lang w:val="es-AR"/>
        </w:rPr>
      </w:pPr>
      <w:r>
        <w:rPr>
          <w:lang w:val="es-AR"/>
        </w:rPr>
        <w:t>Derecho a la protección de datos de carácter personal, y en particular a la seguridad y confidencialidad de los datos que figuren en los ficheros, sistemas y aplicaciones de las Administraciones Públicas.</w:t>
      </w:r>
    </w:p>
    <w:p w:rsidR="001A23CD" w:rsidRPr="00140B39" w:rsidRDefault="001A23CD" w:rsidP="001A23CD">
      <w:pPr>
        <w:spacing w:before="120" w:after="120"/>
        <w:ind w:firstLine="709"/>
        <w:jc w:val="both"/>
        <w:rPr>
          <w:lang w:val="es-AR"/>
        </w:rPr>
      </w:pPr>
    </w:p>
    <w:p w:rsidR="001A23CD" w:rsidRDefault="001A23CD" w:rsidP="001A23CD">
      <w:pPr>
        <w:pStyle w:val="Ttulo3"/>
        <w:numPr>
          <w:ilvl w:val="0"/>
          <w:numId w:val="28"/>
        </w:numPr>
      </w:pPr>
      <w:r w:rsidRPr="00AE05F7">
        <w:rPr>
          <w:lang w:val="es-AR"/>
        </w:rPr>
        <w:t>¿</w:t>
      </w:r>
      <w:r>
        <w:rPr>
          <w:lang w:val="es-AR"/>
        </w:rPr>
        <w:t>Cuál es la mayor novedad de la Ley en relación con la identidad y la firma electrónica de los interesados?</w:t>
      </w:r>
    </w:p>
    <w:p w:rsidR="001A23CD" w:rsidRDefault="001A23CD" w:rsidP="001A23CD">
      <w:pPr>
        <w:spacing w:before="120" w:after="120"/>
        <w:jc w:val="both"/>
      </w:pPr>
      <w:r>
        <w:t>La mayor novedad en esta materia es el establecimiento de que, con carácter general, para realizar cualquier actuación prevista en el procedimiento administrativo será suficiente con que los interesados acrediten previamente su identidad a través de cualquiera de los medios de identificación previstos en la LPACAP, prohibiendo a las Administraciones Públicas que requieran a los interesados el uso obligatorio de la firma para documentos o actuaciones diferentes de la formulación de solicitudes, la presentación de declaraciones responsables o comunicaciones, la interposición de recursos, el desistimiento de acciones o la renuncia a derechos. Añadiéndose, además, algún otro caso específico como el apoderamiento apud acta electrónico. Por tanto, solo en estos casos podrá exigirse al interesado producir una firma electrónica.</w:t>
      </w:r>
    </w:p>
    <w:p w:rsidR="001A23CD" w:rsidRDefault="001A23CD" w:rsidP="001A23CD">
      <w:pPr>
        <w:spacing w:before="120" w:after="120"/>
        <w:ind w:firstLine="709"/>
        <w:jc w:val="both"/>
      </w:pPr>
      <w:bookmarkStart w:id="0" w:name="_GoBack"/>
      <w:bookmarkEnd w:id="0"/>
    </w:p>
    <w:p w:rsidR="001A23CD" w:rsidRDefault="001A23CD" w:rsidP="001A23CD">
      <w:pPr>
        <w:pStyle w:val="Ttulo3"/>
        <w:numPr>
          <w:ilvl w:val="0"/>
          <w:numId w:val="28"/>
        </w:numPr>
      </w:pPr>
      <w:r w:rsidRPr="00AE05F7">
        <w:rPr>
          <w:lang w:val="es-AR"/>
        </w:rPr>
        <w:lastRenderedPageBreak/>
        <w:t>¿</w:t>
      </w:r>
      <w:r>
        <w:rPr>
          <w:lang w:val="es-AR"/>
        </w:rPr>
        <w:t>Cómo pueden realizar la identificación y firma electrónica personas que no dispongan de dichos medios?</w:t>
      </w:r>
    </w:p>
    <w:p w:rsidR="001A23CD" w:rsidRDefault="001A23CD" w:rsidP="001A23CD">
      <w:pPr>
        <w:spacing w:before="120" w:after="120"/>
        <w:jc w:val="both"/>
      </w:pPr>
      <w:r>
        <w:t>En el caso de personas no obligadas a la relación electrónica con las Administraciones Públicas que no dispongan de los medios de identificación y firma electrónica, la LPACAP prevé que dicha identificación y firma se puede realizar por funcionario público habilitado para ello, con consentimiento previo y constancia de ello, debiendo al menos encontrarse habilitados los funcionarios de las oficinas de asistencia en materia de registros.</w:t>
      </w:r>
    </w:p>
    <w:p w:rsidR="001A23CD" w:rsidRPr="00A82129" w:rsidRDefault="001A23CD" w:rsidP="001A23CD">
      <w:pPr>
        <w:spacing w:before="120" w:after="120"/>
        <w:ind w:firstLine="709"/>
        <w:jc w:val="both"/>
      </w:pPr>
    </w:p>
    <w:p w:rsidR="001A23CD" w:rsidRPr="00AE05F7" w:rsidRDefault="001A23CD" w:rsidP="001A23CD">
      <w:pPr>
        <w:pStyle w:val="Ttulo3"/>
        <w:numPr>
          <w:ilvl w:val="0"/>
          <w:numId w:val="28"/>
        </w:numPr>
        <w:rPr>
          <w:lang w:val="es-AR"/>
        </w:rPr>
      </w:pPr>
      <w:r w:rsidRPr="00AE05F7">
        <w:rPr>
          <w:lang w:val="es-AR"/>
        </w:rPr>
        <w:t>¿</w:t>
      </w:r>
      <w:r>
        <w:rPr>
          <w:lang w:val="es-AR"/>
        </w:rPr>
        <w:t>Tienen capacidad de obrar administrativa los grupos de afectados, las uniones y entidades sin personalidad jurídica y los patrimonios independientes o autónomos?</w:t>
      </w:r>
    </w:p>
    <w:p w:rsidR="001A23CD" w:rsidRPr="006466E6" w:rsidRDefault="001A23CD" w:rsidP="001A23CD">
      <w:pPr>
        <w:spacing w:before="120" w:after="120"/>
        <w:jc w:val="both"/>
      </w:pPr>
      <w:r>
        <w:t>Sí. La capacidad de obrar se extiende con la LPACAP a estos supuestos siempre que así lo declare una Ley de manera expresa. Esta ampliación es coherente con la concepción de la legitimación en el procedimiento administrativo, en su sentido expansivo.</w:t>
      </w:r>
    </w:p>
    <w:p w:rsidR="001A23CD" w:rsidRPr="00A31459" w:rsidRDefault="001A23CD" w:rsidP="001A23CD">
      <w:pPr>
        <w:pStyle w:val="Ttulo2"/>
        <w:rPr>
          <w:lang w:val="es-AR"/>
        </w:rPr>
      </w:pPr>
      <w:r>
        <w:rPr>
          <w:lang w:val="es-AR"/>
        </w:rPr>
        <w:t>Registro electrónico</w:t>
      </w:r>
    </w:p>
    <w:p w:rsidR="001A23CD" w:rsidRDefault="001A23CD" w:rsidP="001A23CD">
      <w:pPr>
        <w:pStyle w:val="Ttulo3"/>
        <w:numPr>
          <w:ilvl w:val="0"/>
          <w:numId w:val="28"/>
        </w:numPr>
        <w:rPr>
          <w:lang w:val="es-AR"/>
        </w:rPr>
      </w:pPr>
      <w:r w:rsidRPr="00A31459">
        <w:rPr>
          <w:lang w:val="es-AR"/>
        </w:rPr>
        <w:t>¿</w:t>
      </w:r>
      <w:r>
        <w:rPr>
          <w:lang w:val="es-AR"/>
        </w:rPr>
        <w:t>Desaparecen las oficinas de registro presenciales?</w:t>
      </w:r>
    </w:p>
    <w:p w:rsidR="001A23CD" w:rsidRDefault="001A23CD" w:rsidP="001A23CD">
      <w:pPr>
        <w:spacing w:before="120" w:after="120"/>
        <w:jc w:val="both"/>
        <w:rPr>
          <w:lang w:val="es-AR"/>
        </w:rPr>
      </w:pPr>
      <w:r>
        <w:rPr>
          <w:lang w:val="es-AR"/>
        </w:rPr>
        <w:t>Sí. Con la nueva LPACAP desaparecen las oficinas de registro presenciales, que pasan a ser denominadas oficinas de asistencia en materia de registro y cuya misión, a efectos de registro, va a ser la de recibir la documentación en soporte papel aportada por los ciudadanos no obligados a la relación electrónica y a distancia con las Administraciones Públicas y a digitalizarla para su registro exclusivamente electrónico y su incorporación al expediente administrativo electrónico, devolviéndose los originales al interesado. Esta previsión, no obstante, no surtirá efectos sino a partir del 2 de octubre de 2018, según establece la Disposición final séptima de la LPACAP.</w:t>
      </w:r>
    </w:p>
    <w:p w:rsidR="001A23CD" w:rsidRPr="00A31459" w:rsidRDefault="001A23CD" w:rsidP="001A23CD">
      <w:pPr>
        <w:spacing w:before="120" w:after="120"/>
        <w:ind w:firstLine="709"/>
        <w:jc w:val="both"/>
        <w:rPr>
          <w:lang w:val="es-AR"/>
        </w:rPr>
      </w:pPr>
    </w:p>
    <w:p w:rsidR="001A23CD" w:rsidRDefault="001A23CD" w:rsidP="001A23CD">
      <w:pPr>
        <w:pStyle w:val="Ttulo3"/>
        <w:numPr>
          <w:ilvl w:val="0"/>
          <w:numId w:val="28"/>
        </w:numPr>
        <w:rPr>
          <w:lang w:val="es-AR"/>
        </w:rPr>
      </w:pPr>
      <w:r w:rsidRPr="00A31459">
        <w:rPr>
          <w:lang w:val="es-AR"/>
        </w:rPr>
        <w:lastRenderedPageBreak/>
        <w:t>¿</w:t>
      </w:r>
      <w:r>
        <w:rPr>
          <w:lang w:val="es-AR"/>
        </w:rPr>
        <w:t>Qué opciones tiene el Ayuntamiento para cumplir con lo previsto en materia de plataformas y registros electrónicos?</w:t>
      </w:r>
    </w:p>
    <w:p w:rsidR="001A23CD" w:rsidRDefault="001A23CD" w:rsidP="001A23CD">
      <w:pPr>
        <w:spacing w:before="120" w:after="120"/>
        <w:jc w:val="both"/>
        <w:rPr>
          <w:lang w:val="es-AR"/>
        </w:rPr>
      </w:pPr>
      <w:r>
        <w:rPr>
          <w:lang w:val="es-AR"/>
        </w:rPr>
        <w:t>Para cumplir con lo previsto en materia de registro electrónico de apoderamientos, registro electrónico, archivo electrónico único, plataforma de intermediación de datos y punto de acceso general electrónico de la Administración, las Entidades Locales podrán adherirse voluntariamente y a través de medios electrónicos a las plataformas y registros establecidos al efecto por la Administración General del Estado, justificando su no adhesión en términos de eficiencia conforme al artículo 7 de la LOEPSF:</w:t>
      </w:r>
    </w:p>
    <w:p w:rsidR="001A23CD" w:rsidRDefault="001A23CD" w:rsidP="001A23CD">
      <w:pPr>
        <w:spacing w:before="120" w:after="120"/>
        <w:jc w:val="both"/>
        <w:rPr>
          <w:lang w:val="es-AR"/>
        </w:rPr>
      </w:pPr>
      <w:r>
        <w:rPr>
          <w:lang w:val="es-AR"/>
        </w:rPr>
        <w:t>Pero, por otro lado, la Entidad Local podrá mantener su propio registro o plataforma, justificando ante el Ministerio de Hacienda y Administraciones Públicas que puede prestar el servicio de un modo más eficiente, de acuerdo con lo previsto en el párrafo anterior, y garantizando que cumple con los requisitos del Esquema Nacional de Interoperabilidad, el Esquema Nacional de Seguridad, y sus normas técnicas de desarrollo, de modo que se garantice su compatibilidad informática e interconexión, así como la transmisión telemática de solicitudes, escritos y comunicaciones que se realicen en sus correspondientes registros y plataformas.</w:t>
      </w:r>
    </w:p>
    <w:p w:rsidR="001A23CD" w:rsidRDefault="001A23CD" w:rsidP="001A23CD">
      <w:pPr>
        <w:pStyle w:val="Prrafodelista"/>
        <w:spacing w:before="120" w:after="120"/>
        <w:contextualSpacing w:val="0"/>
        <w:jc w:val="both"/>
        <w:rPr>
          <w:b/>
          <w:bCs/>
          <w:color w:val="002060"/>
          <w:lang w:val="es-AR"/>
        </w:rPr>
      </w:pPr>
    </w:p>
    <w:p w:rsidR="001A23CD" w:rsidRPr="00A31459" w:rsidRDefault="001A23CD" w:rsidP="001A23CD">
      <w:pPr>
        <w:pStyle w:val="Ttulo3"/>
        <w:numPr>
          <w:ilvl w:val="0"/>
          <w:numId w:val="28"/>
        </w:numPr>
        <w:rPr>
          <w:lang w:val="es-AR"/>
        </w:rPr>
      </w:pPr>
      <w:r>
        <w:rPr>
          <w:lang w:val="es-AR"/>
        </w:rPr>
        <w:t>¿Qué implica que el registro sea únicamente electrónico?</w:t>
      </w:r>
    </w:p>
    <w:p w:rsidR="001A23CD" w:rsidRDefault="001A23CD" w:rsidP="001A23CD">
      <w:pPr>
        <w:spacing w:before="120" w:after="120"/>
        <w:jc w:val="both"/>
        <w:rPr>
          <w:lang w:val="es-AR"/>
        </w:rPr>
      </w:pPr>
      <w:r>
        <w:rPr>
          <w:lang w:val="es-AR"/>
        </w:rPr>
        <w:t>Que el registro sea únicamente electrónico implica que los documentos en papel deban necesariamente ingresar mediante la producción de una copia auténtica, producida a partir de la digitalización.</w:t>
      </w:r>
    </w:p>
    <w:p w:rsidR="001A23CD" w:rsidRDefault="001A23CD" w:rsidP="001A23CD">
      <w:pPr>
        <w:spacing w:before="120" w:after="120"/>
        <w:jc w:val="both"/>
        <w:rPr>
          <w:lang w:val="es-AR"/>
        </w:rPr>
      </w:pPr>
      <w:r>
        <w:rPr>
          <w:lang w:val="es-AR"/>
        </w:rPr>
        <w:t>Por tanto, cada Administración dispondrá de un Registro Electrónico General para hacer el correspondiente asiento de todo documento que sea presentado o que se reciba. Asimismo, podrá anotarse la salida de documentos oficiales dirigidos a otros órganos o particulares.</w:t>
      </w:r>
    </w:p>
    <w:p w:rsidR="001A23CD" w:rsidRDefault="001A23CD" w:rsidP="001A23CD">
      <w:pPr>
        <w:spacing w:before="120" w:after="120"/>
        <w:ind w:firstLine="709"/>
        <w:jc w:val="both"/>
        <w:rPr>
          <w:lang w:val="es-AR"/>
        </w:rPr>
      </w:pPr>
    </w:p>
    <w:p w:rsidR="001A23CD" w:rsidRPr="00A31459" w:rsidRDefault="001A23CD" w:rsidP="001A23CD">
      <w:pPr>
        <w:pStyle w:val="Ttulo3"/>
        <w:numPr>
          <w:ilvl w:val="0"/>
          <w:numId w:val="28"/>
        </w:numPr>
        <w:rPr>
          <w:lang w:val="es-AR"/>
        </w:rPr>
      </w:pPr>
      <w:r w:rsidRPr="00A31459">
        <w:rPr>
          <w:lang w:val="es-AR"/>
        </w:rPr>
        <w:t>¿</w:t>
      </w:r>
      <w:r>
        <w:rPr>
          <w:lang w:val="es-AR"/>
        </w:rPr>
        <w:t>Puede la Administración establecer la obligación de presentar determinados documentos por medios electrónicos</w:t>
      </w:r>
      <w:r w:rsidRPr="00A31459">
        <w:rPr>
          <w:lang w:val="es-AR"/>
        </w:rPr>
        <w:t>?</w:t>
      </w:r>
    </w:p>
    <w:p w:rsidR="001A23CD" w:rsidRDefault="001A23CD" w:rsidP="001A23CD">
      <w:pPr>
        <w:spacing w:before="120" w:after="120"/>
        <w:jc w:val="both"/>
        <w:rPr>
          <w:lang w:val="es-AR"/>
        </w:rPr>
      </w:pPr>
      <w:r>
        <w:rPr>
          <w:lang w:val="es-AR"/>
        </w:rPr>
        <w:t xml:space="preserve">Sí. Reglamentariamente las Administraciones podrán establecer la obligación de presentar determinados documentos por medios electrónicos para ciertos procedimientos y colectivos de personas físicas que, por razón de su capacidad </w:t>
      </w:r>
      <w:r>
        <w:rPr>
          <w:lang w:val="es-AR"/>
        </w:rPr>
        <w:lastRenderedPageBreak/>
        <w:t>económica, técnica, dedicación profesional u otros motivos quede acreditado que tienen acceso y disponibilidad de los medios electrónicos necesarios.</w:t>
      </w:r>
    </w:p>
    <w:p w:rsidR="001A23CD" w:rsidRDefault="001A23CD" w:rsidP="001A23CD">
      <w:pPr>
        <w:spacing w:before="120" w:after="120"/>
        <w:ind w:firstLine="709"/>
        <w:jc w:val="both"/>
        <w:rPr>
          <w:lang w:val="es-AR"/>
        </w:rPr>
      </w:pPr>
    </w:p>
    <w:p w:rsidR="001A23CD" w:rsidRPr="00A31459" w:rsidRDefault="001A23CD" w:rsidP="001A23CD">
      <w:pPr>
        <w:pStyle w:val="Ttulo3"/>
        <w:numPr>
          <w:ilvl w:val="0"/>
          <w:numId w:val="28"/>
        </w:numPr>
        <w:rPr>
          <w:lang w:val="es-AR"/>
        </w:rPr>
      </w:pPr>
      <w:r w:rsidRPr="00A31459">
        <w:rPr>
          <w:lang w:val="es-AR"/>
        </w:rPr>
        <w:t>¿</w:t>
      </w:r>
      <w:r>
        <w:rPr>
          <w:lang w:val="es-AR"/>
        </w:rPr>
        <w:t>Puede el propio ciudadano digitalizar en su domicilio los documentos</w:t>
      </w:r>
      <w:r w:rsidRPr="00A31459">
        <w:rPr>
          <w:lang w:val="es-AR"/>
        </w:rPr>
        <w:t>?</w:t>
      </w:r>
    </w:p>
    <w:p w:rsidR="001A23CD" w:rsidRDefault="001A23CD" w:rsidP="001A23CD">
      <w:pPr>
        <w:spacing w:before="120" w:after="120"/>
        <w:jc w:val="both"/>
        <w:rPr>
          <w:lang w:val="es-AR"/>
        </w:rPr>
      </w:pPr>
      <w:r>
        <w:rPr>
          <w:lang w:val="es-AR"/>
        </w:rPr>
        <w:t>Tanto si el interesado decide relacionarse electrónicamente con la Administración como si se le impone la obligación, resulta que el derecho a no aportar documentos originales se traduce inmediatamente en la posibilidad de que él mismo se digitalice, en su propio domicilio, los documentos y que entregue una copia simple de los mismos a la Administración, posibilidad que ya existía en la derogada LAE.</w:t>
      </w:r>
    </w:p>
    <w:p w:rsidR="001A23CD" w:rsidRDefault="001A23CD" w:rsidP="001A23CD">
      <w:pPr>
        <w:spacing w:before="120" w:after="120"/>
        <w:ind w:firstLine="709"/>
        <w:jc w:val="both"/>
        <w:rPr>
          <w:lang w:val="es-AR"/>
        </w:rPr>
      </w:pPr>
    </w:p>
    <w:p w:rsidR="001A23CD" w:rsidRPr="00A31459" w:rsidRDefault="001A23CD" w:rsidP="001A23CD">
      <w:pPr>
        <w:pStyle w:val="Ttulo3"/>
        <w:numPr>
          <w:ilvl w:val="0"/>
          <w:numId w:val="28"/>
        </w:numPr>
        <w:rPr>
          <w:lang w:val="es-AR"/>
        </w:rPr>
      </w:pPr>
      <w:r w:rsidRPr="00A31459">
        <w:rPr>
          <w:lang w:val="es-AR"/>
        </w:rPr>
        <w:t>¿</w:t>
      </w:r>
      <w:r>
        <w:rPr>
          <w:lang w:val="es-AR"/>
        </w:rPr>
        <w:t>Qué tipo de documentos no es obligado aportar por los interesados</w:t>
      </w:r>
      <w:r w:rsidRPr="00A31459">
        <w:rPr>
          <w:lang w:val="es-AR"/>
        </w:rPr>
        <w:t>?</w:t>
      </w:r>
    </w:p>
    <w:p w:rsidR="001A23CD" w:rsidRDefault="001A23CD" w:rsidP="001A23CD">
      <w:pPr>
        <w:spacing w:before="120" w:after="120"/>
        <w:jc w:val="both"/>
        <w:rPr>
          <w:lang w:val="es-AR"/>
        </w:rPr>
      </w:pPr>
      <w:r>
        <w:rPr>
          <w:lang w:val="es-AR"/>
        </w:rPr>
        <w:t>Los interesados no estarán obligados a aportar documentos que hayan sido elaborados por cualquier Administración, siempre que hayan expresado su consentimiento a que sean consultados o recabados por la Administración.</w:t>
      </w:r>
    </w:p>
    <w:p w:rsidR="001A23CD" w:rsidRDefault="001A23CD" w:rsidP="001A23CD">
      <w:pPr>
        <w:spacing w:before="120" w:after="120"/>
        <w:jc w:val="both"/>
        <w:rPr>
          <w:lang w:val="es-AR"/>
        </w:rPr>
      </w:pPr>
      <w:r>
        <w:rPr>
          <w:lang w:val="es-AR"/>
        </w:rPr>
        <w:t>Además, las Administraciones no exigirán a los interesados la presentación de documentos originales, salvo que, con carácter excepcional, la normativa reguladora aplicable establezca lo contrario.</w:t>
      </w:r>
    </w:p>
    <w:p w:rsidR="001A23CD" w:rsidRDefault="001A23CD" w:rsidP="001A23CD">
      <w:pPr>
        <w:spacing w:before="120" w:after="120"/>
        <w:jc w:val="both"/>
        <w:rPr>
          <w:lang w:val="es-AR"/>
        </w:rPr>
      </w:pPr>
      <w:r>
        <w:rPr>
          <w:lang w:val="es-AR"/>
        </w:rPr>
        <w:t>Asimismo, las Administraciones no requerirán a los interesados datos o documentos no exigidos por la normativa reguladora aplicable o que hayan sido aportados anteriormente por el interesado a cualquier Administración.</w:t>
      </w:r>
    </w:p>
    <w:p w:rsidR="001A23CD" w:rsidRPr="00A31459" w:rsidRDefault="001A23CD" w:rsidP="001A23CD">
      <w:pPr>
        <w:spacing w:before="120" w:after="120"/>
        <w:ind w:firstLine="709"/>
        <w:jc w:val="both"/>
        <w:rPr>
          <w:lang w:val="es-AR"/>
        </w:rPr>
      </w:pPr>
    </w:p>
    <w:p w:rsidR="001A23CD" w:rsidRPr="00A31459" w:rsidRDefault="001A23CD" w:rsidP="001A23CD">
      <w:pPr>
        <w:pStyle w:val="Ttulo3"/>
        <w:numPr>
          <w:ilvl w:val="0"/>
          <w:numId w:val="28"/>
        </w:numPr>
        <w:rPr>
          <w:lang w:val="es-AR"/>
        </w:rPr>
      </w:pPr>
      <w:r w:rsidRPr="00A31459">
        <w:rPr>
          <w:lang w:val="es-AR"/>
        </w:rPr>
        <w:t>¿</w:t>
      </w:r>
      <w:r>
        <w:rPr>
          <w:lang w:val="es-AR"/>
        </w:rPr>
        <w:t>Será obligatorio, a partir del día 2 de octubre de 2016, mantener abierto el sábado el Registro General del Ayuntamiento</w:t>
      </w:r>
      <w:r w:rsidRPr="00A31459">
        <w:rPr>
          <w:lang w:val="es-AR"/>
        </w:rPr>
        <w:t>?</w:t>
      </w:r>
    </w:p>
    <w:p w:rsidR="001A23CD" w:rsidRDefault="001A23CD" w:rsidP="001A23CD">
      <w:pPr>
        <w:spacing w:before="120" w:after="120"/>
        <w:jc w:val="both"/>
        <w:rPr>
          <w:lang w:val="es-AR"/>
        </w:rPr>
      </w:pPr>
      <w:r w:rsidRPr="007B21A0">
        <w:rPr>
          <w:lang w:val="es-AR"/>
        </w:rPr>
        <w:t xml:space="preserve">No. A partir del día 2 de octubre de </w:t>
      </w:r>
      <w:r>
        <w:rPr>
          <w:lang w:val="es-AR"/>
        </w:rPr>
        <w:t>2016, como los sábados serán días inhábiles, ya no existirá obligación de mantener abierto el Registro ya que será como si se tratase de un festivo, no pudiendo registrarse, en consecuencia, ningún documento en el Ayuntamiento. No existiendo, por otro lado, ninguna otra justificación por la que dicho Registro deba permanecer abierto en estos días inhábiles.</w:t>
      </w:r>
    </w:p>
    <w:p w:rsidR="001A23CD" w:rsidRDefault="001A23CD" w:rsidP="001A23CD">
      <w:pPr>
        <w:spacing w:before="120" w:after="120"/>
        <w:ind w:firstLine="709"/>
        <w:jc w:val="both"/>
        <w:rPr>
          <w:lang w:val="es-AR"/>
        </w:rPr>
      </w:pPr>
    </w:p>
    <w:p w:rsidR="001A23CD" w:rsidRPr="00A31459" w:rsidRDefault="001A23CD" w:rsidP="001A23CD">
      <w:pPr>
        <w:pStyle w:val="Ttulo2"/>
        <w:rPr>
          <w:lang w:val="es-AR"/>
        </w:rPr>
      </w:pPr>
      <w:r w:rsidRPr="006466E6">
        <w:rPr>
          <w:lang w:val="es-AR"/>
        </w:rPr>
        <w:t>Plazos</w:t>
      </w:r>
    </w:p>
    <w:p w:rsidR="001A23CD" w:rsidRPr="00A31459" w:rsidRDefault="001A23CD" w:rsidP="001A23CD">
      <w:pPr>
        <w:pStyle w:val="Ttulo3"/>
        <w:numPr>
          <w:ilvl w:val="0"/>
          <w:numId w:val="28"/>
        </w:numPr>
        <w:rPr>
          <w:lang w:val="es-AR"/>
        </w:rPr>
      </w:pPr>
      <w:r>
        <w:rPr>
          <w:lang w:val="es-AR"/>
        </w:rPr>
        <w:t xml:space="preserve"> </w:t>
      </w:r>
      <w:r w:rsidRPr="00A31459">
        <w:rPr>
          <w:lang w:val="es-AR"/>
        </w:rPr>
        <w:t>¿</w:t>
      </w:r>
      <w:r>
        <w:rPr>
          <w:lang w:val="es-AR"/>
        </w:rPr>
        <w:t>Qué días son inhábiles a partir de la entrada en vigor de la LPACAP</w:t>
      </w:r>
      <w:r w:rsidRPr="00A31459">
        <w:rPr>
          <w:lang w:val="es-AR"/>
        </w:rPr>
        <w:t>?</w:t>
      </w:r>
    </w:p>
    <w:p w:rsidR="001A23CD" w:rsidRDefault="001A23CD" w:rsidP="001A23CD">
      <w:pPr>
        <w:spacing w:before="120" w:after="120"/>
        <w:jc w:val="both"/>
        <w:rPr>
          <w:lang w:val="es-AR"/>
        </w:rPr>
      </w:pPr>
      <w:r w:rsidRPr="007B21A0">
        <w:rPr>
          <w:lang w:val="es-AR"/>
        </w:rPr>
        <w:t xml:space="preserve">A partir del día 2 de octubre de </w:t>
      </w:r>
      <w:r>
        <w:rPr>
          <w:lang w:val="es-AR"/>
        </w:rPr>
        <w:t>2016, los sábados dejan de ser considerados hábiles a efectos de cómputo de plazos, por tanto, se considerarán días inhábiles en las Administraciones Públicas los sábados, los domingos y los declarados festivos.</w:t>
      </w:r>
    </w:p>
    <w:p w:rsidR="001A23CD" w:rsidRDefault="001A23CD" w:rsidP="001A23CD">
      <w:pPr>
        <w:spacing w:before="120" w:after="120"/>
        <w:ind w:firstLine="709"/>
        <w:jc w:val="both"/>
        <w:rPr>
          <w:lang w:val="es-AR"/>
        </w:rPr>
      </w:pPr>
    </w:p>
    <w:p w:rsidR="001A23CD" w:rsidRPr="00A31459" w:rsidRDefault="001A23CD" w:rsidP="001A23CD">
      <w:pPr>
        <w:pStyle w:val="Ttulo3"/>
        <w:numPr>
          <w:ilvl w:val="0"/>
          <w:numId w:val="28"/>
        </w:numPr>
        <w:rPr>
          <w:lang w:val="es-AR"/>
        </w:rPr>
      </w:pPr>
      <w:r>
        <w:rPr>
          <w:lang w:val="es-AR"/>
        </w:rPr>
        <w:t>¿Cómo computan los plazos por horas</w:t>
      </w:r>
      <w:r w:rsidRPr="00A31459">
        <w:rPr>
          <w:lang w:val="es-AR"/>
        </w:rPr>
        <w:t>?</w:t>
      </w:r>
    </w:p>
    <w:p w:rsidR="001A23CD" w:rsidRDefault="001A23CD" w:rsidP="001A23CD">
      <w:pPr>
        <w:spacing w:before="120" w:after="120"/>
        <w:jc w:val="both"/>
        <w:rPr>
          <w:lang w:val="es-AR"/>
        </w:rPr>
      </w:pPr>
      <w:r>
        <w:rPr>
          <w:lang w:val="es-AR"/>
        </w:rPr>
        <w:t>Cuando los plazos se señalen por horas, y salvo que por Ley o en del Derecho de la Unión Europea se disponga otra cosa, cuando los plazos se señalen por horas se entiende que éstas son hábiles</w:t>
      </w:r>
      <w:r w:rsidRPr="00A31459">
        <w:rPr>
          <w:lang w:val="es-AR"/>
        </w:rPr>
        <w:t>.</w:t>
      </w:r>
    </w:p>
    <w:p w:rsidR="001A23CD" w:rsidRDefault="001A23CD" w:rsidP="001A23CD">
      <w:pPr>
        <w:spacing w:before="120" w:after="120"/>
        <w:jc w:val="both"/>
        <w:rPr>
          <w:lang w:val="es-AR"/>
        </w:rPr>
      </w:pPr>
      <w:r>
        <w:rPr>
          <w:lang w:val="es-AR"/>
        </w:rPr>
        <w:t>Los plazos expresados por horas se contarán de hora en hora y de minuto en minuto desde la hora y minuto en que tenga lugar la notificación o publicación del acto de que se trate y no podrán tener una duración superior a veinticuatro horas, en cuyo caso se expresarán en días.</w:t>
      </w:r>
    </w:p>
    <w:p w:rsidR="001A23CD" w:rsidRDefault="001A23CD" w:rsidP="001A23CD">
      <w:pPr>
        <w:spacing w:before="120" w:after="120"/>
        <w:jc w:val="both"/>
        <w:rPr>
          <w:lang w:val="es-AR"/>
        </w:rPr>
      </w:pPr>
      <w:r>
        <w:rPr>
          <w:lang w:val="es-AR"/>
        </w:rPr>
        <w:t>Por tanto, en el ámbito administrativo, serían hábiles las veinticuatro horas del día.</w:t>
      </w:r>
    </w:p>
    <w:p w:rsidR="001A23CD" w:rsidRPr="00A31459" w:rsidRDefault="001A23CD" w:rsidP="001A23CD">
      <w:pPr>
        <w:pStyle w:val="Ttulo2"/>
        <w:rPr>
          <w:lang w:val="es-AR"/>
        </w:rPr>
      </w:pPr>
      <w:r w:rsidRPr="006466E6">
        <w:rPr>
          <w:lang w:val="es-AR"/>
        </w:rPr>
        <w:t>Expediente electrónico</w:t>
      </w:r>
    </w:p>
    <w:p w:rsidR="001A23CD" w:rsidRPr="00A31459" w:rsidRDefault="001A23CD" w:rsidP="001A23CD">
      <w:pPr>
        <w:pStyle w:val="Ttulo3"/>
        <w:numPr>
          <w:ilvl w:val="0"/>
          <w:numId w:val="28"/>
        </w:numPr>
        <w:rPr>
          <w:lang w:val="es-AR"/>
        </w:rPr>
      </w:pPr>
      <w:r>
        <w:rPr>
          <w:lang w:val="es-AR"/>
        </w:rPr>
        <w:t xml:space="preserve"> ¿Desaparece el expediente en papel</w:t>
      </w:r>
      <w:r w:rsidRPr="00A31459">
        <w:rPr>
          <w:lang w:val="es-AR"/>
        </w:rPr>
        <w:t xml:space="preserve">? </w:t>
      </w:r>
    </w:p>
    <w:p w:rsidR="001A23CD" w:rsidRDefault="001A23CD" w:rsidP="001A23CD">
      <w:pPr>
        <w:spacing w:before="120" w:after="120"/>
        <w:jc w:val="both"/>
        <w:rPr>
          <w:lang w:val="es-AR"/>
        </w:rPr>
      </w:pPr>
      <w:r>
        <w:rPr>
          <w:lang w:val="es-AR"/>
        </w:rPr>
        <w:t>Los expedientes tendrán formato electrónico y se formarán mediante la agregación ordenada de cuantos documentos, pruebas, dictámenes, informes, acuerdos, notificaciones y demás diligencias deban integrarlos, así como un índice numerado de todos los documentos que contenga cuando se remitan. Asimismo, deberá constar en el expediente copia electrónica certificada de la resolución adoptada.</w:t>
      </w:r>
    </w:p>
    <w:p w:rsidR="001A23CD" w:rsidRDefault="001A23CD" w:rsidP="001A23CD">
      <w:pPr>
        <w:spacing w:before="120" w:after="120"/>
        <w:ind w:firstLine="709"/>
        <w:jc w:val="both"/>
        <w:rPr>
          <w:lang w:val="es-AR"/>
        </w:rPr>
      </w:pPr>
    </w:p>
    <w:p w:rsidR="001A23CD" w:rsidRPr="00A31459" w:rsidRDefault="001A23CD" w:rsidP="001A23CD">
      <w:pPr>
        <w:pStyle w:val="Ttulo3"/>
        <w:numPr>
          <w:ilvl w:val="0"/>
          <w:numId w:val="28"/>
        </w:numPr>
        <w:rPr>
          <w:lang w:val="es-AR"/>
        </w:rPr>
      </w:pPr>
      <w:r>
        <w:rPr>
          <w:lang w:val="es-AR"/>
        </w:rPr>
        <w:lastRenderedPageBreak/>
        <w:t xml:space="preserve"> ¿Toda la documentación relativa al expediente administrativo en formato electrónico deberá formar parte del mismo</w:t>
      </w:r>
      <w:r w:rsidRPr="00A31459">
        <w:rPr>
          <w:lang w:val="es-AR"/>
        </w:rPr>
        <w:t xml:space="preserve">? </w:t>
      </w:r>
    </w:p>
    <w:p w:rsidR="001A23CD" w:rsidRDefault="001A23CD" w:rsidP="001A23CD">
      <w:pPr>
        <w:spacing w:before="120" w:after="120"/>
        <w:jc w:val="both"/>
        <w:rPr>
          <w:lang w:val="es-AR"/>
        </w:rPr>
      </w:pPr>
      <w:r>
        <w:rPr>
          <w:lang w:val="es-AR"/>
        </w:rPr>
        <w:t>No. No formará parte del expediente electrónico la información que tenga carácter auxiliar o de apoyo, como la contenida en aplicaciones, ficheros y bases de datos informáticas, notas, borradores, opiniones, resúmenes, comunicaciones e informes internos o entre órganos o entidades administrativas, así como los juicios de valor emitidos por las Administraciones Públicas, salvo que se trate de informes, preceptivos y facultativos, solicitados antes de la resolución administrativa que ponga fin al procedimiento.</w:t>
      </w:r>
    </w:p>
    <w:p w:rsidR="001A23CD" w:rsidRDefault="001A23CD" w:rsidP="001A23CD">
      <w:pPr>
        <w:spacing w:before="120" w:after="120"/>
        <w:ind w:firstLine="709"/>
        <w:jc w:val="both"/>
        <w:rPr>
          <w:lang w:val="es-AR"/>
        </w:rPr>
      </w:pPr>
    </w:p>
    <w:p w:rsidR="001A23CD" w:rsidRPr="00A31459" w:rsidRDefault="001A23CD" w:rsidP="001A23CD">
      <w:pPr>
        <w:pStyle w:val="Ttulo3"/>
        <w:numPr>
          <w:ilvl w:val="0"/>
          <w:numId w:val="28"/>
        </w:numPr>
        <w:rPr>
          <w:lang w:val="es-AR"/>
        </w:rPr>
      </w:pPr>
      <w:r>
        <w:rPr>
          <w:lang w:val="es-AR"/>
        </w:rPr>
        <w:t>¿Es obligatoria la práctica de la notificación por medios electrónicos</w:t>
      </w:r>
      <w:r w:rsidRPr="00A31459">
        <w:rPr>
          <w:lang w:val="es-AR"/>
        </w:rPr>
        <w:t xml:space="preserve">? </w:t>
      </w:r>
    </w:p>
    <w:p w:rsidR="001A23CD" w:rsidRDefault="001A23CD" w:rsidP="001A23CD">
      <w:pPr>
        <w:spacing w:before="120" w:after="120"/>
        <w:jc w:val="both"/>
        <w:rPr>
          <w:lang w:val="es-AR"/>
        </w:rPr>
      </w:pPr>
      <w:r w:rsidRPr="00A31459">
        <w:rPr>
          <w:lang w:val="es-AR"/>
        </w:rPr>
        <w:t xml:space="preserve">No. </w:t>
      </w:r>
      <w:r>
        <w:rPr>
          <w:lang w:val="es-AR"/>
        </w:rPr>
        <w:t>Es únicamente obligatoria en los casos en que el interesado resulte obligado a recibirlas por esta vía. En el resto de casos, será el medio preferente de notificación, si bien en ningún caso se efectuarán por medios electrónicos las siguientes notificaciones:</w:t>
      </w:r>
    </w:p>
    <w:p w:rsidR="001A23CD" w:rsidRDefault="001A23CD" w:rsidP="001A23CD">
      <w:pPr>
        <w:pStyle w:val="Listado"/>
        <w:rPr>
          <w:lang w:val="es-AR"/>
        </w:rPr>
      </w:pPr>
      <w:r>
        <w:rPr>
          <w:lang w:val="es-AR"/>
        </w:rPr>
        <w:t>Aquellas en las que el acto a notificar vaya acompañado de elementos que no sean susceptibles de conversión en formato electrónico.</w:t>
      </w:r>
    </w:p>
    <w:p w:rsidR="001A23CD" w:rsidRDefault="001A23CD" w:rsidP="001A23CD">
      <w:pPr>
        <w:pStyle w:val="Listado"/>
        <w:rPr>
          <w:lang w:val="es-AR"/>
        </w:rPr>
      </w:pPr>
      <w:r>
        <w:rPr>
          <w:lang w:val="es-AR"/>
        </w:rPr>
        <w:t>Las que contengan medios de pago a favor de los obligados, tales como cheques.</w:t>
      </w:r>
    </w:p>
    <w:p w:rsidR="001A23CD" w:rsidRDefault="001A23CD" w:rsidP="001A23CD">
      <w:pPr>
        <w:spacing w:before="120" w:after="120"/>
        <w:jc w:val="both"/>
        <w:rPr>
          <w:lang w:val="es-AR"/>
        </w:rPr>
      </w:pPr>
      <w:r>
        <w:rPr>
          <w:lang w:val="es-AR"/>
        </w:rPr>
        <w:t>Todas las notificaciones que se practiquen en papel deberán ser puestas a disposición del interesado en la sede electrónica de la Administración u Organismo actuante par que pueda acceder al contenido de las mismas de forma voluntaria.</w:t>
      </w:r>
    </w:p>
    <w:p w:rsidR="001A23CD" w:rsidRPr="00A31459" w:rsidRDefault="001A23CD" w:rsidP="001A23CD">
      <w:pPr>
        <w:spacing w:before="120" w:after="120"/>
        <w:ind w:firstLine="709"/>
        <w:jc w:val="both"/>
        <w:rPr>
          <w:lang w:val="es-AR"/>
        </w:rPr>
      </w:pPr>
    </w:p>
    <w:p w:rsidR="001A23CD" w:rsidRPr="00A31459" w:rsidRDefault="001A23CD" w:rsidP="001A23CD">
      <w:pPr>
        <w:pStyle w:val="Ttulo3"/>
        <w:numPr>
          <w:ilvl w:val="0"/>
          <w:numId w:val="28"/>
        </w:numPr>
        <w:rPr>
          <w:lang w:val="es-AR"/>
        </w:rPr>
      </w:pPr>
      <w:r>
        <w:rPr>
          <w:lang w:val="es-AR"/>
        </w:rPr>
        <w:t xml:space="preserve"> </w:t>
      </w:r>
      <w:r w:rsidRPr="00A31459">
        <w:rPr>
          <w:lang w:val="es-AR"/>
        </w:rPr>
        <w:t>¿</w:t>
      </w:r>
      <w:r>
        <w:rPr>
          <w:lang w:val="es-AR"/>
        </w:rPr>
        <w:t>Y la resolución del procedimiento dependerá del medio de notificación?</w:t>
      </w:r>
    </w:p>
    <w:p w:rsidR="001A23CD" w:rsidRDefault="001A23CD" w:rsidP="001A23CD">
      <w:pPr>
        <w:spacing w:before="120" w:after="120"/>
        <w:jc w:val="both"/>
        <w:rPr>
          <w:lang w:val="es-AR"/>
        </w:rPr>
      </w:pPr>
      <w:r>
        <w:rPr>
          <w:lang w:val="es-AR"/>
        </w:rPr>
        <w:t>No. Sin perjuicio de la forma y lugar señalados por el interesado para la práctica de las notificaciones, la resolución del procedimiento se dictará electrónicamente y garantizará la identidad del órgano competente, así como la autenticidad e integridad del documento que se formalice.</w:t>
      </w:r>
    </w:p>
    <w:p w:rsidR="001A23CD" w:rsidRDefault="001A23CD" w:rsidP="001A23CD">
      <w:pPr>
        <w:spacing w:before="120" w:after="120"/>
        <w:ind w:firstLine="709"/>
        <w:jc w:val="both"/>
        <w:rPr>
          <w:lang w:val="es-AR"/>
        </w:rPr>
      </w:pPr>
    </w:p>
    <w:p w:rsidR="001A23CD" w:rsidRPr="00AE05F7" w:rsidRDefault="001A23CD" w:rsidP="001A23CD">
      <w:pPr>
        <w:pStyle w:val="Ttulo3"/>
        <w:numPr>
          <w:ilvl w:val="0"/>
          <w:numId w:val="28"/>
        </w:numPr>
        <w:rPr>
          <w:lang w:val="es-AR"/>
        </w:rPr>
      </w:pPr>
      <w:r w:rsidRPr="00AE05F7">
        <w:rPr>
          <w:lang w:val="es-AR"/>
        </w:rPr>
        <w:lastRenderedPageBreak/>
        <w:t>¿</w:t>
      </w:r>
      <w:r>
        <w:rPr>
          <w:lang w:val="es-AR"/>
        </w:rPr>
        <w:t>Cómo se practicarán las notificaciones por medios electrónicos?</w:t>
      </w:r>
    </w:p>
    <w:p w:rsidR="001A23CD" w:rsidRDefault="001A23CD" w:rsidP="001A23CD">
      <w:pPr>
        <w:spacing w:before="120" w:after="120"/>
        <w:jc w:val="both"/>
      </w:pPr>
      <w:r>
        <w:t>Se practicarán mediante comparecencia en la sede electrónica de la Administración actuante, a través de la dirección electrónica de la Administración actuante, a través de la dirección electrónica habilitada única o mediante ambos sistemas, según disponga cada Administración.</w:t>
      </w:r>
    </w:p>
    <w:p w:rsidR="001A23CD" w:rsidRPr="00A82129" w:rsidRDefault="001A23CD" w:rsidP="001A23CD">
      <w:pPr>
        <w:spacing w:before="120" w:after="120"/>
        <w:ind w:firstLine="709"/>
        <w:jc w:val="both"/>
        <w:rPr>
          <w:color w:val="1F497D"/>
        </w:rPr>
      </w:pPr>
    </w:p>
    <w:p w:rsidR="001A23CD" w:rsidRPr="00AE05F7" w:rsidRDefault="001A23CD" w:rsidP="001A23CD">
      <w:pPr>
        <w:pStyle w:val="Ttulo3"/>
        <w:numPr>
          <w:ilvl w:val="0"/>
          <w:numId w:val="28"/>
        </w:numPr>
        <w:rPr>
          <w:lang w:val="es-AR"/>
        </w:rPr>
      </w:pPr>
      <w:r w:rsidRPr="00AE05F7">
        <w:rPr>
          <w:lang w:val="es-AR"/>
        </w:rPr>
        <w:t>¿</w:t>
      </w:r>
      <w:r>
        <w:rPr>
          <w:lang w:val="es-AR"/>
        </w:rPr>
        <w:t>Cuándo se entenderá producido el rechazo de la notificación electrónica?</w:t>
      </w:r>
    </w:p>
    <w:p w:rsidR="001A23CD" w:rsidRPr="00A82129" w:rsidRDefault="001A23CD" w:rsidP="001A23CD">
      <w:pPr>
        <w:spacing w:before="120" w:after="120"/>
        <w:jc w:val="both"/>
      </w:pPr>
      <w:r>
        <w:t>Cuando la notificación por medios electrónicos sea de carácter obligatorio, o haya sido expresamente elegida por el interesado, transcurridos diez días naturales desde que se pone a disposición del interesado sin que éste acceda a su contenido, se entenderá rechazada.</w:t>
      </w:r>
    </w:p>
    <w:p w:rsidR="001A23CD" w:rsidRDefault="001A23CD" w:rsidP="001A23CD">
      <w:pPr>
        <w:spacing w:before="120" w:after="120"/>
        <w:ind w:firstLine="709"/>
        <w:jc w:val="both"/>
        <w:rPr>
          <w:lang w:val="es-AR"/>
        </w:rPr>
      </w:pPr>
    </w:p>
    <w:p w:rsidR="001A23CD" w:rsidRPr="00A31459" w:rsidRDefault="001A23CD" w:rsidP="001A23CD">
      <w:pPr>
        <w:pStyle w:val="Ttulo3"/>
        <w:numPr>
          <w:ilvl w:val="0"/>
          <w:numId w:val="28"/>
        </w:numPr>
        <w:rPr>
          <w:lang w:val="es-AR"/>
        </w:rPr>
      </w:pPr>
      <w:r>
        <w:rPr>
          <w:lang w:val="es-AR"/>
        </w:rPr>
        <w:t xml:space="preserve"> ¿Qué novedades se han introducido en relación con los recursos</w:t>
      </w:r>
      <w:r w:rsidRPr="00A31459">
        <w:rPr>
          <w:lang w:val="es-AR"/>
        </w:rPr>
        <w:t xml:space="preserve">? </w:t>
      </w:r>
    </w:p>
    <w:p w:rsidR="001A23CD" w:rsidRDefault="001A23CD" w:rsidP="001A23CD">
      <w:pPr>
        <w:spacing w:before="120" w:after="120"/>
        <w:jc w:val="both"/>
        <w:rPr>
          <w:lang w:val="es-AR"/>
        </w:rPr>
      </w:pPr>
      <w:r>
        <w:rPr>
          <w:lang w:val="es-AR"/>
        </w:rPr>
        <w:t xml:space="preserve">La principal novedad en esta materia es la posibilidad de interponer recurso contra actos presuntos en cualquier momento. </w:t>
      </w:r>
    </w:p>
    <w:p w:rsidR="001A23CD" w:rsidRDefault="001A23CD" w:rsidP="001A23CD">
      <w:pPr>
        <w:spacing w:before="120" w:after="120"/>
        <w:jc w:val="both"/>
        <w:rPr>
          <w:lang w:val="es-AR"/>
        </w:rPr>
      </w:pPr>
      <w:r>
        <w:rPr>
          <w:lang w:val="es-AR"/>
        </w:rPr>
        <w:t>Así, tanto el recurso de alzada como el de reposición, si el acto no fuera expreso, podrán interponerse, en sus ámbitos respectivos, en cualquier momento a partir del día siguiente a aquel en que, de acuerdo con su normativa específica, se produzcan los efectos del silencio administrativo.</w:t>
      </w:r>
    </w:p>
    <w:p w:rsidR="001A23CD" w:rsidRDefault="001A23CD" w:rsidP="001A23CD">
      <w:pPr>
        <w:spacing w:before="120" w:after="120"/>
        <w:ind w:firstLine="709"/>
        <w:jc w:val="both"/>
        <w:rPr>
          <w:lang w:val="es-AR"/>
        </w:rPr>
      </w:pPr>
    </w:p>
    <w:p w:rsidR="001A23CD" w:rsidRPr="00A31459" w:rsidRDefault="001A23CD" w:rsidP="001A23CD">
      <w:pPr>
        <w:pStyle w:val="Ttulo3"/>
        <w:numPr>
          <w:ilvl w:val="0"/>
          <w:numId w:val="28"/>
        </w:numPr>
        <w:rPr>
          <w:lang w:val="es-AR"/>
        </w:rPr>
      </w:pPr>
      <w:r>
        <w:rPr>
          <w:lang w:val="es-AR"/>
        </w:rPr>
        <w:t xml:space="preserve"> ¿Qué novedad se introduce en los casos de pluralidad de recursos administrativos que traigan causa de un mismo acto administrativo</w:t>
      </w:r>
      <w:r w:rsidRPr="00A31459">
        <w:rPr>
          <w:lang w:val="es-AR"/>
        </w:rPr>
        <w:t xml:space="preserve">? </w:t>
      </w:r>
    </w:p>
    <w:p w:rsidR="001A23CD" w:rsidRPr="00F00A2A" w:rsidRDefault="001A23CD" w:rsidP="001A23CD">
      <w:pPr>
        <w:spacing w:before="120" w:after="120"/>
        <w:jc w:val="both"/>
        <w:rPr>
          <w:sz w:val="20"/>
          <w:lang w:val="es-AR"/>
        </w:rPr>
      </w:pPr>
      <w:r>
        <w:rPr>
          <w:lang w:val="es-AR"/>
        </w:rPr>
        <w:t xml:space="preserve">Cuando deban resolverse una pluralidad de recursos administrativos que traigan causa de un mismo acto administrativo y se hubiera interpuesto un recurso judicial contra una resolución administrativa o bien contra el correspondiente acto presunto desestimatorio, el órgano administrativo podrá acordar la suspensión del plazo para resolver hasta que recaiga pronunciamiento judicial, lo que permitirá una uniformidad en la respuesta y la </w:t>
      </w:r>
      <w:r>
        <w:rPr>
          <w:lang w:val="es-AR"/>
        </w:rPr>
        <w:lastRenderedPageBreak/>
        <w:t>agilización a la hora de resolver los recursos que se hayan planteado y queden de tal modo pendientes.</w:t>
      </w:r>
    </w:p>
    <w:p w:rsidR="001A23CD" w:rsidRDefault="001A23CD" w:rsidP="001A23CD">
      <w:pPr>
        <w:spacing w:before="120" w:after="120"/>
        <w:ind w:firstLine="709"/>
        <w:jc w:val="both"/>
        <w:rPr>
          <w:lang w:val="es-AR"/>
        </w:rPr>
      </w:pPr>
    </w:p>
    <w:p w:rsidR="001A23CD" w:rsidRPr="00A31459" w:rsidRDefault="001A23CD" w:rsidP="001A23CD">
      <w:pPr>
        <w:pStyle w:val="Ttulo3"/>
        <w:numPr>
          <w:ilvl w:val="0"/>
          <w:numId w:val="28"/>
        </w:numPr>
        <w:rPr>
          <w:lang w:val="es-AR"/>
        </w:rPr>
      </w:pPr>
      <w:r>
        <w:rPr>
          <w:lang w:val="es-AR"/>
        </w:rPr>
        <w:t xml:space="preserve"> ¿Cómo se remitirá el expediente electrónico</w:t>
      </w:r>
      <w:r w:rsidRPr="00A31459">
        <w:rPr>
          <w:lang w:val="es-AR"/>
        </w:rPr>
        <w:t>?</w:t>
      </w:r>
    </w:p>
    <w:p w:rsidR="001A23CD" w:rsidRDefault="001A23CD" w:rsidP="001A23CD">
      <w:pPr>
        <w:spacing w:before="120" w:after="120"/>
        <w:jc w:val="both"/>
      </w:pPr>
      <w:r>
        <w:rPr>
          <w:lang w:val="es-AR"/>
        </w:rPr>
        <w:t>Cuando en virtud de una norma sea preciso remitir el expediente electrónico, se hará de acuerdo con lo previsto en el Esquema Nacional de Interoperabilidad y en las correspondientes Normas Técnicas de Interoperabilidad, y se enviará completo, foliado, autentificado y acompañado de un índice, asimismo autentificado, de los documentos que contenga. La autentificación del índice garantizará la integridad e inmutabilidad del expediente electrónico generado desde el momento de su firma y permitirá su recuperación, siempre que sea preciso, siendo admisible que un mismo documento forme parte de distintos expedientes electrónicos.</w:t>
      </w:r>
    </w:p>
    <w:p w:rsidR="001A23CD" w:rsidRPr="006466E6" w:rsidRDefault="001A23CD" w:rsidP="001A23CD">
      <w:pPr>
        <w:spacing w:before="120" w:after="120"/>
        <w:ind w:firstLine="709"/>
        <w:jc w:val="both"/>
      </w:pPr>
    </w:p>
    <w:p w:rsidR="001A23CD" w:rsidRPr="00A31459" w:rsidRDefault="001A23CD" w:rsidP="001A23CD">
      <w:pPr>
        <w:pStyle w:val="Ttulo3"/>
        <w:numPr>
          <w:ilvl w:val="0"/>
          <w:numId w:val="28"/>
        </w:numPr>
        <w:rPr>
          <w:lang w:val="es-AR"/>
        </w:rPr>
      </w:pPr>
      <w:r>
        <w:rPr>
          <w:lang w:val="es-AR"/>
        </w:rPr>
        <w:t xml:space="preserve"> </w:t>
      </w:r>
      <w:r w:rsidRPr="00A31459">
        <w:rPr>
          <w:lang w:val="es-AR"/>
        </w:rPr>
        <w:t>¿</w:t>
      </w:r>
      <w:r>
        <w:rPr>
          <w:lang w:val="es-AR"/>
        </w:rPr>
        <w:t>Qué ocurre con los hasta ahora procedimientos especiales sobre potestad sancionadora y responsabilidad patrimonial</w:t>
      </w:r>
      <w:r w:rsidRPr="00A31459">
        <w:rPr>
          <w:lang w:val="es-AR"/>
        </w:rPr>
        <w:t>?</w:t>
      </w:r>
    </w:p>
    <w:p w:rsidR="001A23CD" w:rsidRPr="00A31459" w:rsidRDefault="001A23CD" w:rsidP="001A23CD">
      <w:pPr>
        <w:spacing w:before="120" w:after="120"/>
        <w:jc w:val="both"/>
        <w:rPr>
          <w:lang w:val="es-AR"/>
        </w:rPr>
      </w:pPr>
      <w:r>
        <w:rPr>
          <w:lang w:val="es-AR"/>
        </w:rPr>
        <w:t>Estos dos procedimientos especiales que la Ley 30/1992, de 26 de noviembre, regulaba en títulos separados, ahora se han integrado como especialidades del procedimiento administrativo común, buscando la simplificación de los procedimientos administrativos y su integración como especialidades en el procedimiento administrativo común, contribuyendo así a aumentar la seguridad jurídica.</w:t>
      </w:r>
    </w:p>
    <w:p w:rsidR="001A23CD" w:rsidRPr="00A82129" w:rsidRDefault="001A23CD" w:rsidP="001A23CD">
      <w:pPr>
        <w:spacing w:before="120" w:after="120"/>
        <w:ind w:firstLine="709"/>
        <w:jc w:val="both"/>
        <w:rPr>
          <w:lang w:val="es-AR"/>
        </w:rPr>
      </w:pPr>
    </w:p>
    <w:p w:rsidR="001A23CD" w:rsidRPr="00A82129" w:rsidRDefault="001A23CD" w:rsidP="001A23CD">
      <w:pPr>
        <w:pStyle w:val="Ttulo3"/>
        <w:numPr>
          <w:ilvl w:val="0"/>
          <w:numId w:val="28"/>
        </w:numPr>
      </w:pPr>
      <w:r>
        <w:rPr>
          <w:lang w:val="es-AR"/>
        </w:rPr>
        <w:t xml:space="preserve"> </w:t>
      </w:r>
      <w:r w:rsidRPr="00A82129">
        <w:rPr>
          <w:lang w:val="es-AR"/>
        </w:rPr>
        <w:t>¿</w:t>
      </w:r>
      <w:r>
        <w:rPr>
          <w:lang w:val="es-AR"/>
        </w:rPr>
        <w:t>Cuándo es posible la tramitación simplificada del procedimiento administrativo común</w:t>
      </w:r>
      <w:r w:rsidRPr="00A82129">
        <w:rPr>
          <w:lang w:val="es-AR"/>
        </w:rPr>
        <w:t>?</w:t>
      </w:r>
    </w:p>
    <w:p w:rsidR="001A23CD" w:rsidRDefault="001A23CD" w:rsidP="001A23CD">
      <w:pPr>
        <w:spacing w:before="120" w:after="120"/>
        <w:jc w:val="both"/>
      </w:pPr>
      <w:r>
        <w:t>Cuando razones de interés público o falta de complejidad del procedimiento así lo aconsejen, las Administraciones Públicas podrán acordar, de oficio o a solicitud del interesado la tramitación simplificada del procedimiento pudiendo, en cualquier momento anterior a la resolución, acordar el órgano competente continuar con arreglo a la tramitación ordinaria.</w:t>
      </w:r>
    </w:p>
    <w:p w:rsidR="001A23CD" w:rsidRDefault="001A23CD" w:rsidP="001A23CD">
      <w:pPr>
        <w:spacing w:before="120" w:after="120"/>
        <w:jc w:val="both"/>
      </w:pPr>
      <w:r>
        <w:t>El plazo máximo de resolución será de treinta días.</w:t>
      </w:r>
    </w:p>
    <w:p w:rsidR="001A23CD" w:rsidRPr="00A82129" w:rsidRDefault="001A23CD" w:rsidP="001A23CD">
      <w:pPr>
        <w:spacing w:before="120" w:after="120"/>
        <w:ind w:firstLine="709"/>
        <w:jc w:val="both"/>
      </w:pPr>
    </w:p>
    <w:p w:rsidR="001A23CD" w:rsidRPr="00AE05F7" w:rsidRDefault="001A23CD" w:rsidP="001A23CD">
      <w:pPr>
        <w:pStyle w:val="Ttulo3"/>
        <w:numPr>
          <w:ilvl w:val="0"/>
          <w:numId w:val="28"/>
        </w:numPr>
        <w:rPr>
          <w:lang w:val="es-AR"/>
        </w:rPr>
      </w:pPr>
      <w:r w:rsidRPr="00AE05F7">
        <w:rPr>
          <w:lang w:val="es-AR"/>
        </w:rPr>
        <w:lastRenderedPageBreak/>
        <w:t>¿</w:t>
      </w:r>
      <w:r>
        <w:rPr>
          <w:lang w:val="es-AR"/>
        </w:rPr>
        <w:t>Se regulan todas las relaciones «ad extra» entre las Administraciones y los administrados, como señala el Legislador en la Introducción de la Ley?</w:t>
      </w:r>
    </w:p>
    <w:p w:rsidR="001A23CD" w:rsidRDefault="001A23CD" w:rsidP="001A23CD">
      <w:pPr>
        <w:spacing w:before="120" w:after="120"/>
        <w:jc w:val="both"/>
      </w:pPr>
      <w:r>
        <w:t xml:space="preserve">No. Quedan fuera de esta regulación importantes ámbitos de la actuación administrativa, como la comprobación, control e inspección de la Administración, de relevancia en el ámbito del control posterior de actividades, así como otras manifestaciones de la actividad administrativa que no son reconducibles al concepto de «acto administrativo» </w:t>
      </w:r>
    </w:p>
    <w:p w:rsidR="001A23CD" w:rsidRPr="00A82129" w:rsidRDefault="001A23CD" w:rsidP="001A23CD">
      <w:pPr>
        <w:pStyle w:val="Ttulo2"/>
        <w:rPr>
          <w:color w:val="1F497D"/>
        </w:rPr>
      </w:pPr>
      <w:r>
        <w:rPr>
          <w:lang w:val="es-AR"/>
        </w:rPr>
        <w:t>Órganos colegiados</w:t>
      </w:r>
    </w:p>
    <w:p w:rsidR="001A23CD" w:rsidRPr="00AE05F7" w:rsidRDefault="001A23CD" w:rsidP="001A23CD">
      <w:pPr>
        <w:pStyle w:val="Ttulo3"/>
        <w:numPr>
          <w:ilvl w:val="0"/>
          <w:numId w:val="28"/>
        </w:numPr>
        <w:rPr>
          <w:lang w:val="es-AR"/>
        </w:rPr>
      </w:pPr>
      <w:r w:rsidRPr="00AE05F7">
        <w:rPr>
          <w:lang w:val="es-AR"/>
        </w:rPr>
        <w:t>¿</w:t>
      </w:r>
      <w:r>
        <w:rPr>
          <w:lang w:val="es-AR"/>
        </w:rPr>
        <w:t>Resultan aplicables en el ámbito local las previsiones sobre órganos colegiados contenidas en la LRJSP?</w:t>
      </w:r>
    </w:p>
    <w:p w:rsidR="001A23CD" w:rsidRDefault="001A23CD" w:rsidP="001A23CD">
      <w:pPr>
        <w:spacing w:before="120" w:after="120"/>
        <w:jc w:val="both"/>
      </w:pPr>
      <w:r>
        <w:t xml:space="preserve">Sólo resultan aplicables en el ámbito local los artículos de la subsección 1ª, Sección 3ª del Capítulo II del Título Preliminar, relativa a los </w:t>
      </w:r>
      <w:r w:rsidRPr="00FA3CF3">
        <w:rPr>
          <w:i/>
        </w:rPr>
        <w:t>«Órganos colegiados de las distintas administraciones públicas»</w:t>
      </w:r>
      <w:r>
        <w:t>, pues los artículos 19 a 22 son de aplicación exclusiva a la Administración General del Estado.</w:t>
      </w:r>
    </w:p>
    <w:p w:rsidR="001A23CD" w:rsidRDefault="001A23CD" w:rsidP="001A23CD">
      <w:pPr>
        <w:spacing w:before="120" w:after="120"/>
        <w:ind w:firstLine="709"/>
        <w:jc w:val="both"/>
      </w:pPr>
    </w:p>
    <w:p w:rsidR="001A23CD" w:rsidRPr="00AE05F7" w:rsidRDefault="001A23CD" w:rsidP="001A23CD">
      <w:pPr>
        <w:pStyle w:val="Ttulo3"/>
        <w:numPr>
          <w:ilvl w:val="0"/>
          <w:numId w:val="28"/>
        </w:numPr>
        <w:rPr>
          <w:lang w:val="es-AR"/>
        </w:rPr>
      </w:pPr>
      <w:r w:rsidRPr="00AE05F7">
        <w:rPr>
          <w:lang w:val="es-AR"/>
        </w:rPr>
        <w:t>¿</w:t>
      </w:r>
      <w:r>
        <w:rPr>
          <w:lang w:val="es-AR"/>
        </w:rPr>
        <w:t>Y resultan aplicables las referencias al Secretario de los órganos colegiados?</w:t>
      </w:r>
    </w:p>
    <w:p w:rsidR="001A23CD" w:rsidRPr="00FA3CF3" w:rsidRDefault="001A23CD" w:rsidP="001A23CD">
      <w:pPr>
        <w:spacing w:before="120" w:after="120"/>
        <w:jc w:val="both"/>
      </w:pPr>
      <w:r>
        <w:t xml:space="preserve">El régimen de los Secretarios de Administración Local es el regulado en la legislación básica de régimen local y en el aún vigente Real Decreto 1174/1987, de 18 de septiembre, por el que se regula el régimen jurídico de los funcionarios de la Administración Local con habilitación de carácter nacional, en cuanto a la extensión de sus funciones y responsabilidades, y al mismo debe estarse, no pudiendo desconocer que ya la Disposición Adicional vigesimoprimera de la propia LRJSP declara la no aplicabilidad de sus disposiciones sobre los órganos colegiados cuando se trata de los órganos colegiados de gobierno de las Entidades Locales – no en otros casos de órganos colegiados de las entidades locales –. </w:t>
      </w:r>
    </w:p>
    <w:p w:rsidR="001A23CD" w:rsidRDefault="001A23CD" w:rsidP="001A23CD">
      <w:pPr>
        <w:spacing w:before="120" w:after="120"/>
        <w:ind w:firstLine="709"/>
        <w:jc w:val="both"/>
      </w:pPr>
    </w:p>
    <w:p w:rsidR="001A23CD" w:rsidRPr="00AE05F7" w:rsidRDefault="001A23CD" w:rsidP="001A23CD">
      <w:pPr>
        <w:pStyle w:val="Ttulo3"/>
        <w:numPr>
          <w:ilvl w:val="0"/>
          <w:numId w:val="28"/>
        </w:numPr>
        <w:rPr>
          <w:lang w:val="es-AR"/>
        </w:rPr>
      </w:pPr>
      <w:r w:rsidRPr="00AE05F7">
        <w:rPr>
          <w:lang w:val="es-AR"/>
        </w:rPr>
        <w:lastRenderedPageBreak/>
        <w:t>¿</w:t>
      </w:r>
      <w:r>
        <w:rPr>
          <w:lang w:val="es-AR"/>
        </w:rPr>
        <w:t>Cabe la asistencia a distancia a las sesiones de los órganos colegiados?</w:t>
      </w:r>
    </w:p>
    <w:p w:rsidR="001A23CD" w:rsidRDefault="001A23CD" w:rsidP="001A23CD">
      <w:pPr>
        <w:spacing w:before="120" w:after="120"/>
        <w:jc w:val="both"/>
      </w:pPr>
      <w:r>
        <w:t>Sí. Con la nueva Ley se admite expresamente que los órganos colegiados puedan celebrar sus sesiones y adoptar acuerdos tanto de forma presencial como a distancia, salvo que su reglamento interno recoja expresa y excepcionalmente lo contrario.</w:t>
      </w:r>
    </w:p>
    <w:p w:rsidR="001A23CD" w:rsidRDefault="001A23CD" w:rsidP="001A23CD">
      <w:pPr>
        <w:spacing w:before="120" w:after="120"/>
        <w:ind w:firstLine="709"/>
        <w:jc w:val="both"/>
      </w:pPr>
    </w:p>
    <w:p w:rsidR="001A23CD" w:rsidRDefault="001A23CD" w:rsidP="001A23CD">
      <w:pPr>
        <w:pStyle w:val="Ttulo3"/>
        <w:numPr>
          <w:ilvl w:val="0"/>
          <w:numId w:val="28"/>
        </w:numPr>
      </w:pPr>
      <w:r w:rsidRPr="00AE05F7">
        <w:rPr>
          <w:lang w:val="es-AR"/>
        </w:rPr>
        <w:t>¿</w:t>
      </w:r>
      <w:r>
        <w:rPr>
          <w:lang w:val="es-AR"/>
        </w:rPr>
        <w:t>Cómo debe procederse para convocar a los órganos colegiados?</w:t>
      </w:r>
    </w:p>
    <w:p w:rsidR="001A23CD" w:rsidRDefault="001A23CD" w:rsidP="001A23CD">
      <w:pPr>
        <w:spacing w:before="120" w:after="120"/>
        <w:jc w:val="both"/>
      </w:pPr>
      <w:r>
        <w:t>Salvo que no resulte posible, las convocatorias serán remitidas a los miembros los órganos colegiados a través de medios electrónicos, haciendo constar en la misma el orden del día junto con la documentación necesaria para su deliberación cuando sea posible, las condiciones en las que se va a celebrar la sesión, el sistema de conexión y, en su caso, los lugares en que estén disponibles los medios técnicos necesarios para asistir y participar en la reunión. En ningún caso se exige acudir al sistema de notificaciones electrónicas para la realización de la convocatoria, eliminando el problema de tener que esperar los diez días naturales previstos en la anterior norma para tenerla por rechazada, en caso de inacción del interesado.</w:t>
      </w:r>
    </w:p>
    <w:p w:rsidR="001A23CD" w:rsidRDefault="001A23CD" w:rsidP="001A23CD">
      <w:pPr>
        <w:spacing w:before="120" w:after="120"/>
        <w:ind w:firstLine="709"/>
        <w:jc w:val="both"/>
      </w:pPr>
    </w:p>
    <w:p w:rsidR="001A23CD" w:rsidRDefault="001A23CD" w:rsidP="001A23CD">
      <w:pPr>
        <w:pStyle w:val="Ttulo3"/>
        <w:numPr>
          <w:ilvl w:val="0"/>
          <w:numId w:val="28"/>
        </w:numPr>
      </w:pPr>
      <w:r w:rsidRPr="00AE05F7">
        <w:rPr>
          <w:lang w:val="es-AR"/>
        </w:rPr>
        <w:t>¿</w:t>
      </w:r>
      <w:r>
        <w:rPr>
          <w:lang w:val="es-AR"/>
        </w:rPr>
        <w:t>Podrán grabarse las sesiones en formato digital?</w:t>
      </w:r>
    </w:p>
    <w:p w:rsidR="001A23CD" w:rsidRDefault="001A23CD" w:rsidP="001A23CD">
      <w:pPr>
        <w:spacing w:before="120" w:after="120"/>
        <w:jc w:val="both"/>
      </w:pPr>
      <w:r>
        <w:t>Sí, podrán grabarse las sesiones que celebre el órgano colegiado. El fichero resultante de la grabación, junto con la certificación expedida por el Secretario de la autenticidad e integridad del mismo, y cuantos documentos en soporte electrónico se utilizasen como documentos de la sesión, podrán acompañar al acta de las sesiones, sin necesidad de hacer constar en ella los puntos principales de las deliberaciones.</w:t>
      </w:r>
    </w:p>
    <w:p w:rsidR="001A23CD" w:rsidRDefault="001A23CD" w:rsidP="001A23CD">
      <w:pPr>
        <w:spacing w:before="120" w:after="120"/>
        <w:ind w:firstLine="709"/>
        <w:jc w:val="both"/>
      </w:pPr>
    </w:p>
    <w:p w:rsidR="001A23CD" w:rsidRDefault="001A23CD" w:rsidP="001A23CD">
      <w:pPr>
        <w:pStyle w:val="Ttulo3"/>
        <w:numPr>
          <w:ilvl w:val="0"/>
          <w:numId w:val="28"/>
        </w:numPr>
      </w:pPr>
      <w:r w:rsidRPr="00AE05F7">
        <w:rPr>
          <w:lang w:val="es-AR"/>
        </w:rPr>
        <w:t>¿</w:t>
      </w:r>
      <w:r>
        <w:rPr>
          <w:lang w:val="es-AR"/>
        </w:rPr>
        <w:t>Y cuándos se aprobará el acta de cada sesión?</w:t>
      </w:r>
    </w:p>
    <w:p w:rsidR="001A23CD" w:rsidRDefault="001A23CD" w:rsidP="001A23CD">
      <w:pPr>
        <w:spacing w:before="120" w:after="120"/>
        <w:jc w:val="both"/>
      </w:pPr>
      <w:r>
        <w:t xml:space="preserve">El acta de cada sesión podrá aprobarse en la misma reunión o en la inmediata siguiente. El Secretario elaborará el acta con el visto bueno del Presidente y lo remitirá a través de medios electrónicos, a los miembros del órgano colegiado, quienes podrán manifestar por los mismos medios su conformidad o reparos al </w:t>
      </w:r>
      <w:r>
        <w:lastRenderedPageBreak/>
        <w:t>texto, a efectos de su aprobación, considerándose, en caso afirmativo, aprobada en la misma reunión.</w:t>
      </w:r>
    </w:p>
    <w:p w:rsidR="001A23CD" w:rsidRDefault="001A23CD" w:rsidP="001A23CD">
      <w:pPr>
        <w:spacing w:before="120" w:after="120"/>
        <w:jc w:val="both"/>
      </w:pPr>
      <w:r>
        <w:t>Cuando se hubiese optado por la grabación de las sesiones celebradas o por la utilización de documentos en soporte electrónico, deberán conservarse de forma que se garantice la integridad y autenticidad de los ficheros electrónicos correspondientes y el acceso a los mismos por parte de los miembros del órgano colegiado.</w:t>
      </w:r>
    </w:p>
    <w:p w:rsidR="001A23CD" w:rsidRDefault="001A23CD" w:rsidP="001A23CD">
      <w:pPr>
        <w:spacing w:before="120" w:after="120"/>
        <w:ind w:firstLine="709"/>
        <w:jc w:val="both"/>
      </w:pPr>
    </w:p>
    <w:p w:rsidR="001A23CD" w:rsidRDefault="001A23CD" w:rsidP="001A23CD">
      <w:pPr>
        <w:pStyle w:val="Ttulo3"/>
        <w:numPr>
          <w:ilvl w:val="0"/>
          <w:numId w:val="28"/>
        </w:numPr>
      </w:pPr>
      <w:r w:rsidRPr="00AE05F7">
        <w:rPr>
          <w:lang w:val="es-AR"/>
        </w:rPr>
        <w:t>¿</w:t>
      </w:r>
      <w:r>
        <w:rPr>
          <w:lang w:val="es-AR"/>
        </w:rPr>
        <w:t>Cómo se expedirá la certificación de los acuerdos?</w:t>
      </w:r>
    </w:p>
    <w:p w:rsidR="001A23CD" w:rsidRDefault="001A23CD" w:rsidP="001A23CD">
      <w:pPr>
        <w:spacing w:before="120" w:after="120"/>
        <w:jc w:val="both"/>
      </w:pPr>
      <w:r>
        <w:t>Salvo que el interesado manifieste expresamente lo contrario y no tenga obligación de relacionarse con las Administraciones por esta vía, también la certificación será expedida por medios electrónicos.</w:t>
      </w:r>
    </w:p>
    <w:p w:rsidR="001A23CD" w:rsidRDefault="001A23CD" w:rsidP="001A23CD">
      <w:pPr>
        <w:pStyle w:val="Ttulo2"/>
      </w:pPr>
      <w:r>
        <w:rPr>
          <w:lang w:val="es-AR"/>
        </w:rPr>
        <w:t>Otras cuestiones</w:t>
      </w:r>
    </w:p>
    <w:p w:rsidR="001A23CD" w:rsidRPr="00AE05F7" w:rsidRDefault="001A23CD" w:rsidP="001A23CD">
      <w:pPr>
        <w:pStyle w:val="Ttulo3"/>
        <w:numPr>
          <w:ilvl w:val="0"/>
          <w:numId w:val="28"/>
        </w:numPr>
        <w:rPr>
          <w:lang w:val="es-AR"/>
        </w:rPr>
      </w:pPr>
      <w:r w:rsidRPr="00AE05F7">
        <w:rPr>
          <w:lang w:val="es-AR"/>
        </w:rPr>
        <w:t>¿</w:t>
      </w:r>
      <w:r>
        <w:rPr>
          <w:lang w:val="es-AR"/>
        </w:rPr>
        <w:t>En el ámbito sancionador, qué modificación se ha introducido en relación con la imputación subjetiva?</w:t>
      </w:r>
    </w:p>
    <w:p w:rsidR="001A23CD" w:rsidRDefault="001A23CD" w:rsidP="001A23CD">
      <w:pPr>
        <w:spacing w:before="120" w:after="120"/>
        <w:jc w:val="both"/>
      </w:pPr>
      <w:r>
        <w:t>Con la nueva Ley, podrán ser sancionadas por hechos constitutivos de infracción administrativa no sólo las personas físicas y jurídicas sino también, cuando una Ley les reconozca capacidad de obrar, los grupos de afectados, uniones y entidades sin personalidad jurídica y los patrimonios independientes o autónomos, siempre que medie dolo o culpa, eliminándose la referencia de la LRJPAC a una imputación basada en la simple inobservancia</w:t>
      </w:r>
    </w:p>
    <w:p w:rsidR="001A23CD" w:rsidRPr="00AE05F7" w:rsidRDefault="001A23CD" w:rsidP="001A23CD">
      <w:pPr>
        <w:pStyle w:val="Ttulo3"/>
        <w:numPr>
          <w:ilvl w:val="0"/>
          <w:numId w:val="28"/>
        </w:numPr>
        <w:rPr>
          <w:lang w:val="es-AR"/>
        </w:rPr>
      </w:pPr>
      <w:r w:rsidRPr="00AE05F7">
        <w:rPr>
          <w:lang w:val="es-AR"/>
        </w:rPr>
        <w:t>¿</w:t>
      </w:r>
      <w:r>
        <w:rPr>
          <w:lang w:val="es-AR"/>
        </w:rPr>
        <w:t>Hay algún límite en relación con el contenido de los convenios?</w:t>
      </w:r>
    </w:p>
    <w:p w:rsidR="001A23CD" w:rsidRDefault="001A23CD" w:rsidP="001A23CD">
      <w:pPr>
        <w:spacing w:before="120" w:after="120"/>
        <w:jc w:val="both"/>
      </w:pPr>
      <w:r>
        <w:t>Sí, la nueva Ley, recogiendo el criterio ya explicitado en la legislación de contratos del sector público, y reiterado en la doctrina de los órganos consultivos en materia de contratación, señala que dichos convenios no pueden tener por objeto prestaciones propias de los contratos, pues en dicho caso, su naturaleza y régimen jurídico se ajustará a lo previsto en la legislación de contratos del sector público.</w:t>
      </w:r>
    </w:p>
    <w:p w:rsidR="001A23CD" w:rsidRDefault="001A23CD" w:rsidP="001A23CD">
      <w:pPr>
        <w:spacing w:before="120" w:after="120"/>
        <w:ind w:firstLine="709"/>
        <w:jc w:val="both"/>
      </w:pPr>
    </w:p>
    <w:p w:rsidR="001A23CD" w:rsidRPr="00AE05F7" w:rsidRDefault="001A23CD" w:rsidP="001A23CD">
      <w:pPr>
        <w:pStyle w:val="Ttulo3"/>
        <w:numPr>
          <w:ilvl w:val="0"/>
          <w:numId w:val="28"/>
        </w:numPr>
        <w:rPr>
          <w:lang w:val="es-AR"/>
        </w:rPr>
      </w:pPr>
      <w:r w:rsidRPr="00AE05F7">
        <w:rPr>
          <w:lang w:val="es-AR"/>
        </w:rPr>
        <w:lastRenderedPageBreak/>
        <w:t>¿</w:t>
      </w:r>
      <w:r>
        <w:rPr>
          <w:lang w:val="es-AR"/>
        </w:rPr>
        <w:t>Y, en relación con los consorcios locales, por qué normativa se regirán tras la nueva Ley?</w:t>
      </w:r>
    </w:p>
    <w:p w:rsidR="00794DB4" w:rsidRPr="00E37142" w:rsidRDefault="001A23CD" w:rsidP="001A23CD">
      <w:r>
        <w:t>Para los Consorcios Locales expresamente se previene en la norma que las disposiciones contenidas en la LRBRL y en la LRSAL sobre los mismos tendrán carácter supletorio respecto a lo dispuesto en la</w:t>
      </w:r>
    </w:p>
    <w:sectPr w:rsidR="00794DB4" w:rsidRPr="00E37142" w:rsidSect="00776A8D">
      <w:footerReference w:type="default" r:id="rId8"/>
      <w:headerReference w:type="first" r:id="rId9"/>
      <w:footerReference w:type="first" r:id="rId10"/>
      <w:pgSz w:w="11906" w:h="16838"/>
      <w:pgMar w:top="1672" w:right="1701" w:bottom="1417" w:left="1701" w:header="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4BA" w:rsidRDefault="00A014BA" w:rsidP="00B17EDC">
      <w:pPr>
        <w:spacing w:after="0" w:line="240" w:lineRule="auto"/>
      </w:pPr>
      <w:r>
        <w:separator/>
      </w:r>
    </w:p>
  </w:endnote>
  <w:endnote w:type="continuationSeparator" w:id="0">
    <w:p w:rsidR="00A014BA" w:rsidRDefault="00A014BA" w:rsidP="00B1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Semibold">
    <w:altName w:val="DejaVu Sans Condense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6E5" w:rsidRPr="00CF4EB8" w:rsidRDefault="00EC06E5" w:rsidP="00EC06E5">
    <w:pPr>
      <w:pStyle w:val="Piedepgina"/>
      <w:jc w:val="center"/>
      <w:rPr>
        <w:sz w:val="18"/>
        <w:szCs w:val="18"/>
      </w:rPr>
    </w:pPr>
    <w:r w:rsidRPr="00CF4EB8">
      <w:rPr>
        <w:sz w:val="18"/>
        <w:szCs w:val="18"/>
      </w:rPr>
      <w:fldChar w:fldCharType="begin"/>
    </w:r>
    <w:r w:rsidRPr="00CF4EB8">
      <w:rPr>
        <w:sz w:val="18"/>
        <w:szCs w:val="18"/>
      </w:rPr>
      <w:instrText>PAGE   \* MERGEFORMAT</w:instrText>
    </w:r>
    <w:r w:rsidRPr="00CF4EB8">
      <w:rPr>
        <w:sz w:val="18"/>
        <w:szCs w:val="18"/>
      </w:rPr>
      <w:fldChar w:fldCharType="separate"/>
    </w:r>
    <w:r>
      <w:rPr>
        <w:noProof/>
        <w:sz w:val="18"/>
        <w:szCs w:val="18"/>
      </w:rPr>
      <w:t>4</w:t>
    </w:r>
    <w:r w:rsidRPr="00CF4EB8">
      <w:rPr>
        <w:sz w:val="18"/>
        <w:szCs w:val="18"/>
      </w:rPr>
      <w:fldChar w:fldCharType="end"/>
    </w:r>
  </w:p>
  <w:p w:rsidR="002D4E51" w:rsidRPr="00342311" w:rsidRDefault="00EC06E5" w:rsidP="00EC06E5">
    <w:pPr>
      <w:pStyle w:val="Piedepgina"/>
      <w:ind w:left="0"/>
      <w:rPr>
        <w:rFonts w:ascii="Open Sans Semibold" w:hAnsi="Open Sans Semibold" w:cs="Open Sans Semibold"/>
        <w:sz w:val="16"/>
        <w:szCs w:val="16"/>
      </w:rPr>
    </w:pPr>
    <w:r>
      <w:rPr>
        <w:noProof/>
        <w:lang w:eastAsia="es-ES"/>
      </w:rPr>
      <w:t xml:space="preserve"> </w:t>
    </w:r>
    <w:r>
      <w:rPr>
        <w:noProof/>
        <w:lang w:eastAsia="es-ES"/>
      </w:rPr>
      <w:drawing>
        <wp:anchor distT="0" distB="0" distL="114300" distR="114300" simplePos="0" relativeHeight="251658752" behindDoc="0" locked="0" layoutInCell="1" allowOverlap="1">
          <wp:simplePos x="0" y="0"/>
          <wp:positionH relativeFrom="column">
            <wp:posOffset>-770255</wp:posOffset>
          </wp:positionH>
          <wp:positionV relativeFrom="paragraph">
            <wp:posOffset>-257810</wp:posOffset>
          </wp:positionV>
          <wp:extent cx="1063256" cy="322407"/>
          <wp:effectExtent l="0" t="0" r="0" b="0"/>
          <wp:wrapNone/>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resgistre-grey.eps"/>
                  <pic:cNvPicPr/>
                </pic:nvPicPr>
                <pic:blipFill>
                  <a:blip r:embed="rId1">
                    <a:extLst>
                      <a:ext uri="{28A0092B-C50C-407E-A947-70E740481C1C}">
                        <a14:useLocalDpi xmlns:a14="http://schemas.microsoft.com/office/drawing/2010/main" val="0"/>
                      </a:ext>
                    </a:extLst>
                  </a:blip>
                  <a:stretch>
                    <a:fillRect/>
                  </a:stretch>
                </pic:blipFill>
                <pic:spPr>
                  <a:xfrm>
                    <a:off x="0" y="0"/>
                    <a:ext cx="1063256" cy="32240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A8D" w:rsidRDefault="00776A8D" w:rsidP="00776A8D">
    <w:pPr>
      <w:pStyle w:val="Piedepgina"/>
      <w:jc w:val="center"/>
      <w:rPr>
        <w:rFonts w:ascii="Open Sans Semibold" w:hAnsi="Open Sans Semibold" w:cs="Open Sans Semibold"/>
        <w:sz w:val="16"/>
        <w:szCs w:val="16"/>
      </w:rPr>
    </w:pPr>
  </w:p>
  <w:p w:rsidR="00776A8D" w:rsidRDefault="00776A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4BA" w:rsidRDefault="00A014BA" w:rsidP="00B17EDC">
      <w:pPr>
        <w:spacing w:after="0" w:line="240" w:lineRule="auto"/>
      </w:pPr>
      <w:r>
        <w:separator/>
      </w:r>
    </w:p>
  </w:footnote>
  <w:footnote w:type="continuationSeparator" w:id="0">
    <w:p w:rsidR="00A014BA" w:rsidRDefault="00A014BA" w:rsidP="00B17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DC" w:rsidRDefault="00B17EDC">
    <w:pPr>
      <w:pStyle w:val="Encabezado"/>
    </w:pPr>
  </w:p>
  <w:tbl>
    <w:tblPr>
      <w:tblStyle w:val="Tablaconcuadrcula"/>
      <w:tblW w:w="8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4380"/>
    </w:tblGrid>
    <w:tr w:rsidR="002226AD" w:rsidTr="002226AD">
      <w:trPr>
        <w:trHeight w:val="604"/>
      </w:trPr>
      <w:tc>
        <w:tcPr>
          <w:tcW w:w="4353" w:type="dxa"/>
        </w:tcPr>
        <w:p w:rsidR="002226AD" w:rsidRDefault="002226AD">
          <w:pPr>
            <w:pStyle w:val="Encabezado"/>
            <w:ind w:left="0"/>
          </w:pPr>
        </w:p>
      </w:tc>
      <w:tc>
        <w:tcPr>
          <w:tcW w:w="4380" w:type="dxa"/>
        </w:tcPr>
        <w:p w:rsidR="002226AD" w:rsidRDefault="002226AD" w:rsidP="002226AD">
          <w:pPr>
            <w:pStyle w:val="Encabezado"/>
            <w:ind w:left="0"/>
            <w:jc w:val="right"/>
          </w:pPr>
        </w:p>
        <w:p w:rsidR="002226AD" w:rsidRDefault="002226AD" w:rsidP="00300F38">
          <w:pPr>
            <w:pStyle w:val="Encabezado"/>
            <w:ind w:left="0"/>
            <w:jc w:val="right"/>
          </w:pPr>
        </w:p>
      </w:tc>
    </w:tr>
  </w:tbl>
  <w:p w:rsidR="00B17EDC" w:rsidRDefault="002901C8" w:rsidP="005C2DDD">
    <w:pPr>
      <w:pStyle w:val="Encabezado"/>
    </w:pPr>
    <w:r>
      <w:rPr>
        <w:noProof/>
        <w:lang w:eastAsia="es-ES"/>
      </w:rPr>
      <w:drawing>
        <wp:anchor distT="0" distB="0" distL="114300" distR="114300" simplePos="0" relativeHeight="251654144" behindDoc="0" locked="0" layoutInCell="1" allowOverlap="1">
          <wp:simplePos x="0" y="0"/>
          <wp:positionH relativeFrom="column">
            <wp:posOffset>81915</wp:posOffset>
          </wp:positionH>
          <wp:positionV relativeFrom="paragraph">
            <wp:posOffset>111760</wp:posOffset>
          </wp:positionV>
          <wp:extent cx="1510732" cy="37335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publico-RGB-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0732" cy="3733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36E"/>
    <w:multiLevelType w:val="multilevel"/>
    <w:tmpl w:val="2CB0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022DB"/>
    <w:multiLevelType w:val="multilevel"/>
    <w:tmpl w:val="E6481450"/>
    <w:lvl w:ilvl="0">
      <w:start w:val="1"/>
      <w:numFmt w:val="decimal"/>
      <w:lvlText w:val="%1"/>
      <w:lvlJc w:val="left"/>
      <w:pPr>
        <w:ind w:left="432" w:hanging="432"/>
      </w:pPr>
      <w:rPr>
        <w:rFonts w:hint="default"/>
      </w:rPr>
    </w:lvl>
    <w:lvl w:ilvl="1">
      <w:start w:val="1"/>
      <w:numFmt w:val="lowerLetter"/>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F224EFC"/>
    <w:multiLevelType w:val="hybridMultilevel"/>
    <w:tmpl w:val="604C9DB8"/>
    <w:lvl w:ilvl="0" w:tplc="353E0FCC">
      <w:numFmt w:val="bullet"/>
      <w:lvlText w:val="-"/>
      <w:lvlJc w:val="left"/>
      <w:pPr>
        <w:ind w:left="1069" w:hanging="360"/>
      </w:pPr>
      <w:rPr>
        <w:rFonts w:ascii="Calibri" w:eastAsia="MS Mincho" w:hAnsi="Calibri" w:cs="Verdana"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8D960D8"/>
    <w:multiLevelType w:val="multilevel"/>
    <w:tmpl w:val="F9EA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04FDC"/>
    <w:multiLevelType w:val="hybridMultilevel"/>
    <w:tmpl w:val="FA46E384"/>
    <w:lvl w:ilvl="0" w:tplc="C8E20D2C">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101D83"/>
    <w:multiLevelType w:val="multilevel"/>
    <w:tmpl w:val="E81C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B4D09"/>
    <w:multiLevelType w:val="multilevel"/>
    <w:tmpl w:val="3444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2732B"/>
    <w:multiLevelType w:val="hybridMultilevel"/>
    <w:tmpl w:val="270660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D05156"/>
    <w:multiLevelType w:val="multilevel"/>
    <w:tmpl w:val="0CC8A346"/>
    <w:lvl w:ilvl="0">
      <w:start w:val="1"/>
      <w:numFmt w:val="decimal"/>
      <w:lvlText w:val="%1"/>
      <w:lvlJc w:val="left"/>
      <w:pPr>
        <w:ind w:left="432" w:hanging="432"/>
      </w:pPr>
      <w:rPr>
        <w:rFonts w:hint="default"/>
      </w:rPr>
    </w:lvl>
    <w:lvl w:ilvl="1">
      <w:start w:val="1"/>
      <w:numFmt w:val="upperLetter"/>
      <w:lvlText w:val="%2%1"/>
      <w:lvlJc w:val="left"/>
      <w:pPr>
        <w:ind w:left="794" w:hanging="794"/>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4080249"/>
    <w:multiLevelType w:val="multilevel"/>
    <w:tmpl w:val="E92E1D0A"/>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60D77CC"/>
    <w:multiLevelType w:val="hybridMultilevel"/>
    <w:tmpl w:val="E65CE0BA"/>
    <w:lvl w:ilvl="0" w:tplc="5A54DF16">
      <w:numFmt w:val="bullet"/>
      <w:lvlText w:val="-"/>
      <w:lvlJc w:val="left"/>
      <w:pPr>
        <w:ind w:left="927" w:hanging="360"/>
      </w:pPr>
      <w:rPr>
        <w:rFonts w:ascii="Open Sans Light" w:eastAsiaTheme="minorHAnsi" w:hAnsi="Open Sans Light" w:cs="Open Sans Light"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268731F0"/>
    <w:multiLevelType w:val="hybridMultilevel"/>
    <w:tmpl w:val="02CA4A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8F400C"/>
    <w:multiLevelType w:val="multilevel"/>
    <w:tmpl w:val="A452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04374"/>
    <w:multiLevelType w:val="multilevel"/>
    <w:tmpl w:val="1316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1577B"/>
    <w:multiLevelType w:val="multilevel"/>
    <w:tmpl w:val="AF74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904B0"/>
    <w:multiLevelType w:val="hybridMultilevel"/>
    <w:tmpl w:val="E68C4F66"/>
    <w:lvl w:ilvl="0" w:tplc="7C72AD12">
      <w:start w:val="1"/>
      <w:numFmt w:val="decimal"/>
      <w:lvlText w:val="%1."/>
      <w:lvlJc w:val="left"/>
      <w:pPr>
        <w:ind w:left="720" w:hanging="360"/>
      </w:pPr>
      <w:rPr>
        <w:rFonts w:hint="default"/>
        <w:b/>
        <w:color w:val="00206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163164"/>
    <w:multiLevelType w:val="multilevel"/>
    <w:tmpl w:val="3124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644A6"/>
    <w:multiLevelType w:val="multilevel"/>
    <w:tmpl w:val="E92E1D0A"/>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82F7A99"/>
    <w:multiLevelType w:val="hybridMultilevel"/>
    <w:tmpl w:val="0AB2BED2"/>
    <w:lvl w:ilvl="0" w:tplc="DD882D52">
      <w:numFmt w:val="bullet"/>
      <w:lvlText w:val=""/>
      <w:lvlJc w:val="left"/>
      <w:pPr>
        <w:ind w:left="1069" w:hanging="360"/>
      </w:pPr>
      <w:rPr>
        <w:rFonts w:ascii="Symbol" w:eastAsia="MS Mincho" w:hAnsi="Symbol" w:cs="Verdana"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D4476E3"/>
    <w:multiLevelType w:val="multilevel"/>
    <w:tmpl w:val="85D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587FDB"/>
    <w:multiLevelType w:val="hybridMultilevel"/>
    <w:tmpl w:val="B46AEEC4"/>
    <w:lvl w:ilvl="0" w:tplc="03CE6B1C">
      <w:start w:val="1"/>
      <w:numFmt w:val="bullet"/>
      <w:pStyle w:val="Listado"/>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56570E93"/>
    <w:multiLevelType w:val="multilevel"/>
    <w:tmpl w:val="9D00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5A11A6"/>
    <w:multiLevelType w:val="hybridMultilevel"/>
    <w:tmpl w:val="7B8067A2"/>
    <w:lvl w:ilvl="0" w:tplc="C8E20D2C">
      <w:start w:val="1"/>
      <w:numFmt w:val="decimal"/>
      <w:lvlText w:val="%1."/>
      <w:lvlJc w:val="left"/>
      <w:pPr>
        <w:ind w:left="720" w:hanging="360"/>
      </w:pPr>
    </w:lvl>
    <w:lvl w:ilvl="1" w:tplc="5C5CC6A8">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5D12E0"/>
    <w:multiLevelType w:val="multilevel"/>
    <w:tmpl w:val="C07834DE"/>
    <w:lvl w:ilvl="0">
      <w:start w:val="1"/>
      <w:numFmt w:val="decimal"/>
      <w:lvlText w:val="%1"/>
      <w:lvlJc w:val="left"/>
      <w:pPr>
        <w:ind w:left="0" w:firstLine="0"/>
      </w:pPr>
      <w:rPr>
        <w:rFonts w:hint="default"/>
      </w:rPr>
    </w:lvl>
    <w:lvl w:ilvl="1">
      <w:start w:val="1"/>
      <w:numFmt w:val="lowerLetter"/>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0D8097F"/>
    <w:multiLevelType w:val="multilevel"/>
    <w:tmpl w:val="C07834DE"/>
    <w:lvl w:ilvl="0">
      <w:start w:val="1"/>
      <w:numFmt w:val="decimal"/>
      <w:lvlText w:val="%1"/>
      <w:lvlJc w:val="left"/>
      <w:pPr>
        <w:ind w:left="0" w:firstLine="0"/>
      </w:pPr>
      <w:rPr>
        <w:rFonts w:hint="default"/>
      </w:rPr>
    </w:lvl>
    <w:lvl w:ilvl="1">
      <w:start w:val="1"/>
      <w:numFmt w:val="lowerLetter"/>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7296FA3"/>
    <w:multiLevelType w:val="multilevel"/>
    <w:tmpl w:val="E9561D34"/>
    <w:lvl w:ilvl="0">
      <w:start w:val="1"/>
      <w:numFmt w:val="decimal"/>
      <w:lvlText w:val="%1"/>
      <w:lvlJc w:val="left"/>
      <w:pPr>
        <w:ind w:left="284" w:hanging="284"/>
      </w:pPr>
      <w:rPr>
        <w:rFonts w:hint="default"/>
      </w:rPr>
    </w:lvl>
    <w:lvl w:ilvl="1">
      <w:start w:val="1"/>
      <w:numFmt w:val="lowerLetter"/>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76C5CEC"/>
    <w:multiLevelType w:val="multilevel"/>
    <w:tmpl w:val="E92E1D0A"/>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EE33A2E"/>
    <w:multiLevelType w:val="hybridMultilevel"/>
    <w:tmpl w:val="E5F445F6"/>
    <w:lvl w:ilvl="0" w:tplc="C8E20D2C">
      <w:start w:val="1"/>
      <w:numFmt w:val="decimal"/>
      <w:pStyle w:val="Ttulo1"/>
      <w:lvlText w:val="%1."/>
      <w:lvlJc w:val="left"/>
      <w:pPr>
        <w:ind w:left="720" w:hanging="360"/>
      </w:pPr>
    </w:lvl>
    <w:lvl w:ilvl="1" w:tplc="7646C9C4">
      <w:numFmt w:val="bullet"/>
      <w:lvlText w:val="-"/>
      <w:lvlJc w:val="left"/>
      <w:pPr>
        <w:ind w:left="1440" w:hanging="360"/>
      </w:pPr>
      <w:rPr>
        <w:rFonts w:ascii="Open Sans Light" w:eastAsiaTheme="minorHAnsi" w:hAnsi="Open Sans Light" w:cs="Open Sans Light"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313743F"/>
    <w:multiLevelType w:val="hybridMultilevel"/>
    <w:tmpl w:val="D924D6C2"/>
    <w:lvl w:ilvl="0" w:tplc="5C5CC6A8">
      <w:start w:val="1"/>
      <w:numFmt w:val="bullet"/>
      <w:lvlText w:val=""/>
      <w:lvlJc w:val="left"/>
      <w:pPr>
        <w:ind w:left="200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77635F9A"/>
    <w:multiLevelType w:val="hybridMultilevel"/>
    <w:tmpl w:val="DEF85AC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6"/>
  </w:num>
  <w:num w:numId="5">
    <w:abstractNumId w:val="9"/>
  </w:num>
  <w:num w:numId="6">
    <w:abstractNumId w:val="23"/>
  </w:num>
  <w:num w:numId="7">
    <w:abstractNumId w:val="11"/>
  </w:num>
  <w:num w:numId="8">
    <w:abstractNumId w:val="7"/>
  </w:num>
  <w:num w:numId="9">
    <w:abstractNumId w:val="24"/>
  </w:num>
  <w:num w:numId="10">
    <w:abstractNumId w:val="27"/>
  </w:num>
  <w:num w:numId="11">
    <w:abstractNumId w:val="2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5"/>
  </w:num>
  <w:num w:numId="16">
    <w:abstractNumId w:val="21"/>
  </w:num>
  <w:num w:numId="17">
    <w:abstractNumId w:val="3"/>
  </w:num>
  <w:num w:numId="18">
    <w:abstractNumId w:val="16"/>
  </w:num>
  <w:num w:numId="19">
    <w:abstractNumId w:val="19"/>
  </w:num>
  <w:num w:numId="20">
    <w:abstractNumId w:val="0"/>
  </w:num>
  <w:num w:numId="21">
    <w:abstractNumId w:val="13"/>
  </w:num>
  <w:num w:numId="22">
    <w:abstractNumId w:val="1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4"/>
  </w:num>
  <w:num w:numId="26">
    <w:abstractNumId w:val="22"/>
  </w:num>
  <w:num w:numId="27">
    <w:abstractNumId w:val="20"/>
  </w:num>
  <w:num w:numId="28">
    <w:abstractNumId w:val="8"/>
  </w:num>
  <w:num w:numId="29">
    <w:abstractNumId w:val="28"/>
  </w:num>
  <w:num w:numId="30">
    <w:abstractNumId w:val="10"/>
  </w:num>
  <w:num w:numId="31">
    <w:abstractNumId w:val="15"/>
  </w:num>
  <w:num w:numId="32">
    <w:abstractNumId w:val="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664A"/>
    <w:rsid w:val="0011409E"/>
    <w:rsid w:val="00136DA8"/>
    <w:rsid w:val="001431CE"/>
    <w:rsid w:val="00177C7F"/>
    <w:rsid w:val="00184D2D"/>
    <w:rsid w:val="001A23CD"/>
    <w:rsid w:val="002226AD"/>
    <w:rsid w:val="002327A8"/>
    <w:rsid w:val="002901C8"/>
    <w:rsid w:val="002A52DA"/>
    <w:rsid w:val="002C3F26"/>
    <w:rsid w:val="002D4E51"/>
    <w:rsid w:val="002E3D17"/>
    <w:rsid w:val="00300F38"/>
    <w:rsid w:val="00342311"/>
    <w:rsid w:val="00343655"/>
    <w:rsid w:val="0040473E"/>
    <w:rsid w:val="004116A7"/>
    <w:rsid w:val="00443387"/>
    <w:rsid w:val="00480102"/>
    <w:rsid w:val="00510604"/>
    <w:rsid w:val="00524D0F"/>
    <w:rsid w:val="005548D5"/>
    <w:rsid w:val="005A210A"/>
    <w:rsid w:val="005B4C54"/>
    <w:rsid w:val="005C2DDD"/>
    <w:rsid w:val="006247C6"/>
    <w:rsid w:val="006351C3"/>
    <w:rsid w:val="006B71D0"/>
    <w:rsid w:val="006C2483"/>
    <w:rsid w:val="006D66A3"/>
    <w:rsid w:val="006E6C24"/>
    <w:rsid w:val="00711CBA"/>
    <w:rsid w:val="00737E80"/>
    <w:rsid w:val="00760AF1"/>
    <w:rsid w:val="00776A8D"/>
    <w:rsid w:val="00794DB4"/>
    <w:rsid w:val="007E13E3"/>
    <w:rsid w:val="007E4695"/>
    <w:rsid w:val="007E68FA"/>
    <w:rsid w:val="008366EE"/>
    <w:rsid w:val="00866018"/>
    <w:rsid w:val="00885C87"/>
    <w:rsid w:val="00894B67"/>
    <w:rsid w:val="008B6B83"/>
    <w:rsid w:val="008F7DBE"/>
    <w:rsid w:val="009247C4"/>
    <w:rsid w:val="00934A6D"/>
    <w:rsid w:val="00956781"/>
    <w:rsid w:val="00957A29"/>
    <w:rsid w:val="00965685"/>
    <w:rsid w:val="009F4E65"/>
    <w:rsid w:val="00A014BA"/>
    <w:rsid w:val="00A0171E"/>
    <w:rsid w:val="00A43CCC"/>
    <w:rsid w:val="00AF4B35"/>
    <w:rsid w:val="00B17EDC"/>
    <w:rsid w:val="00B35E30"/>
    <w:rsid w:val="00B44203"/>
    <w:rsid w:val="00B873BA"/>
    <w:rsid w:val="00CB1114"/>
    <w:rsid w:val="00CB2042"/>
    <w:rsid w:val="00CB4824"/>
    <w:rsid w:val="00CB7003"/>
    <w:rsid w:val="00CB76C1"/>
    <w:rsid w:val="00CC7F68"/>
    <w:rsid w:val="00D53E5D"/>
    <w:rsid w:val="00DA4FBF"/>
    <w:rsid w:val="00DB1E41"/>
    <w:rsid w:val="00DB664A"/>
    <w:rsid w:val="00E16005"/>
    <w:rsid w:val="00E37142"/>
    <w:rsid w:val="00E5602E"/>
    <w:rsid w:val="00E83C2E"/>
    <w:rsid w:val="00EB454F"/>
    <w:rsid w:val="00EB663E"/>
    <w:rsid w:val="00EC06E5"/>
    <w:rsid w:val="00EE15A8"/>
    <w:rsid w:val="00EF0529"/>
    <w:rsid w:val="00F05B25"/>
    <w:rsid w:val="00F30E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A12B6E-CDAE-4D61-B18B-88AC2052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3CD"/>
    <w:pPr>
      <w:ind w:left="567"/>
    </w:pPr>
    <w:rPr>
      <w:rFonts w:ascii="Open Sans Light" w:hAnsi="Open Sans Light"/>
      <w:color w:val="808080" w:themeColor="background1" w:themeShade="80"/>
    </w:rPr>
  </w:style>
  <w:style w:type="paragraph" w:styleId="Ttulo1">
    <w:name w:val="heading 1"/>
    <w:next w:val="Normal"/>
    <w:link w:val="Ttulo1Car"/>
    <w:autoRedefine/>
    <w:uiPriority w:val="9"/>
    <w:qFormat/>
    <w:rsid w:val="00CB4824"/>
    <w:pPr>
      <w:keepNext/>
      <w:keepLines/>
      <w:numPr>
        <w:numId w:val="10"/>
      </w:numPr>
      <w:suppressLineNumbers/>
      <w:spacing w:before="240" w:after="360" w:line="240" w:lineRule="auto"/>
      <w:ind w:left="567" w:hanging="567"/>
      <w:outlineLvl w:val="0"/>
    </w:pPr>
    <w:rPr>
      <w:rFonts w:ascii="Open Sans" w:eastAsiaTheme="majorEastAsia" w:hAnsi="Open Sans" w:cstheme="majorBidi"/>
      <w:bCs/>
      <w:color w:val="002E5D"/>
      <w:sz w:val="56"/>
      <w:szCs w:val="28"/>
    </w:rPr>
  </w:style>
  <w:style w:type="paragraph" w:styleId="Ttulo2">
    <w:name w:val="heading 2"/>
    <w:basedOn w:val="Ttulo1"/>
    <w:next w:val="Ttulo1"/>
    <w:link w:val="Ttulo2Car"/>
    <w:autoRedefine/>
    <w:uiPriority w:val="9"/>
    <w:unhideWhenUsed/>
    <w:qFormat/>
    <w:rsid w:val="001A23CD"/>
    <w:pPr>
      <w:numPr>
        <w:numId w:val="0"/>
      </w:numPr>
      <w:spacing w:before="480" w:after="240"/>
      <w:ind w:left="567"/>
      <w:outlineLvl w:val="1"/>
    </w:pPr>
    <w:rPr>
      <w:rFonts w:ascii="Open Sans Semibold" w:hAnsi="Open Sans Semibold"/>
      <w:bCs w:val="0"/>
      <w:caps/>
      <w:color w:val="F49701"/>
      <w:sz w:val="28"/>
      <w:szCs w:val="26"/>
    </w:rPr>
  </w:style>
  <w:style w:type="paragraph" w:styleId="Ttulo3">
    <w:name w:val="heading 3"/>
    <w:basedOn w:val="Ttulo1"/>
    <w:next w:val="Normal"/>
    <w:link w:val="Ttulo3Car"/>
    <w:uiPriority w:val="9"/>
    <w:unhideWhenUsed/>
    <w:qFormat/>
    <w:rsid w:val="00EE15A8"/>
    <w:pPr>
      <w:numPr>
        <w:ilvl w:val="2"/>
        <w:numId w:val="28"/>
      </w:numPr>
      <w:spacing w:before="320" w:after="200"/>
      <w:outlineLvl w:val="2"/>
    </w:pPr>
    <w:rPr>
      <w:bCs w:val="0"/>
      <w:sz w:val="28"/>
    </w:rPr>
  </w:style>
  <w:style w:type="paragraph" w:styleId="Ttulo4">
    <w:name w:val="heading 4"/>
    <w:basedOn w:val="Normal"/>
    <w:next w:val="Normal"/>
    <w:link w:val="Ttulo4Car"/>
    <w:uiPriority w:val="9"/>
    <w:semiHidden/>
    <w:unhideWhenUsed/>
    <w:qFormat/>
    <w:rsid w:val="0011409E"/>
    <w:pPr>
      <w:keepNext/>
      <w:keepLines/>
      <w:numPr>
        <w:ilvl w:val="3"/>
        <w:numId w:val="28"/>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11409E"/>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11409E"/>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1409E"/>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1409E"/>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1409E"/>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4824"/>
    <w:rPr>
      <w:rFonts w:ascii="Open Sans" w:eastAsiaTheme="majorEastAsia" w:hAnsi="Open Sans" w:cstheme="majorBidi"/>
      <w:bCs/>
      <w:color w:val="002E5D"/>
      <w:sz w:val="56"/>
      <w:szCs w:val="28"/>
    </w:rPr>
  </w:style>
  <w:style w:type="character" w:customStyle="1" w:styleId="Ttulo2Car">
    <w:name w:val="Título 2 Car"/>
    <w:basedOn w:val="Fuentedeprrafopredeter"/>
    <w:link w:val="Ttulo2"/>
    <w:uiPriority w:val="9"/>
    <w:rsid w:val="001A23CD"/>
    <w:rPr>
      <w:rFonts w:ascii="Open Sans Semibold" w:eastAsiaTheme="majorEastAsia" w:hAnsi="Open Sans Semibold" w:cstheme="majorBidi"/>
      <w:caps/>
      <w:color w:val="F49701"/>
      <w:sz w:val="28"/>
      <w:szCs w:val="26"/>
    </w:rPr>
  </w:style>
  <w:style w:type="paragraph" w:styleId="Sinespaciado">
    <w:name w:val="No Spacing"/>
    <w:uiPriority w:val="1"/>
    <w:qFormat/>
    <w:rsid w:val="00136DA8"/>
    <w:pPr>
      <w:spacing w:after="0" w:line="240" w:lineRule="auto"/>
      <w:ind w:left="567"/>
    </w:pPr>
    <w:rPr>
      <w:rFonts w:ascii="Open Sans Light" w:hAnsi="Open Sans Light"/>
    </w:rPr>
  </w:style>
  <w:style w:type="character" w:customStyle="1" w:styleId="Ttulo3Car">
    <w:name w:val="Título 3 Car"/>
    <w:basedOn w:val="Fuentedeprrafopredeter"/>
    <w:link w:val="Ttulo3"/>
    <w:uiPriority w:val="9"/>
    <w:rsid w:val="00EE15A8"/>
    <w:rPr>
      <w:rFonts w:ascii="Open Sans" w:eastAsiaTheme="majorEastAsia" w:hAnsi="Open Sans" w:cstheme="majorBidi"/>
      <w:color w:val="FF6C00"/>
      <w:sz w:val="28"/>
      <w:szCs w:val="28"/>
    </w:rPr>
  </w:style>
  <w:style w:type="character" w:customStyle="1" w:styleId="Ttulo4Car">
    <w:name w:val="Título 4 Car"/>
    <w:basedOn w:val="Fuentedeprrafopredeter"/>
    <w:link w:val="Ttulo4"/>
    <w:uiPriority w:val="9"/>
    <w:semiHidden/>
    <w:rsid w:val="0011409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11409E"/>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11409E"/>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11409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1409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1409E"/>
    <w:rPr>
      <w:rFonts w:asciiTheme="majorHAnsi" w:eastAsiaTheme="majorEastAsia" w:hAnsiTheme="majorHAnsi" w:cstheme="majorBidi"/>
      <w:i/>
      <w:iCs/>
      <w:color w:val="404040" w:themeColor="text1" w:themeTint="BF"/>
      <w:sz w:val="20"/>
      <w:szCs w:val="20"/>
    </w:rPr>
  </w:style>
  <w:style w:type="paragraph" w:styleId="Puesto">
    <w:name w:val="Title"/>
    <w:basedOn w:val="Normal"/>
    <w:next w:val="Normal"/>
    <w:link w:val="PuestoCar"/>
    <w:uiPriority w:val="10"/>
    <w:qFormat/>
    <w:rsid w:val="001140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11409E"/>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link w:val="PrrafodelistaCar"/>
    <w:uiPriority w:val="34"/>
    <w:qFormat/>
    <w:rsid w:val="0011409E"/>
    <w:pPr>
      <w:ind w:left="720"/>
      <w:contextualSpacing/>
    </w:pPr>
  </w:style>
  <w:style w:type="paragraph" w:styleId="Subttulo">
    <w:name w:val="Subtitle"/>
    <w:aliases w:val="Titulo Principal"/>
    <w:basedOn w:val="Ttulo1"/>
    <w:next w:val="Normal"/>
    <w:link w:val="SubttuloCar"/>
    <w:uiPriority w:val="11"/>
    <w:qFormat/>
    <w:rsid w:val="00894B67"/>
    <w:pPr>
      <w:numPr>
        <w:ilvl w:val="1"/>
        <w:numId w:val="0"/>
      </w:numPr>
    </w:pPr>
    <w:rPr>
      <w:iCs/>
      <w:spacing w:val="15"/>
      <w:sz w:val="72"/>
      <w:szCs w:val="24"/>
    </w:rPr>
  </w:style>
  <w:style w:type="character" w:customStyle="1" w:styleId="SubttuloCar">
    <w:name w:val="Subtítulo Car"/>
    <w:aliases w:val="Titulo Principal Car"/>
    <w:basedOn w:val="Fuentedeprrafopredeter"/>
    <w:link w:val="Subttulo"/>
    <w:uiPriority w:val="11"/>
    <w:rsid w:val="00894B67"/>
    <w:rPr>
      <w:rFonts w:ascii="Open Sans" w:eastAsiaTheme="majorEastAsia" w:hAnsi="Open Sans" w:cstheme="majorBidi"/>
      <w:bCs/>
      <w:iCs/>
      <w:color w:val="FF6C00"/>
      <w:spacing w:val="15"/>
      <w:sz w:val="72"/>
      <w:szCs w:val="24"/>
    </w:rPr>
  </w:style>
  <w:style w:type="character" w:styleId="Ttulodellibro">
    <w:name w:val="Book Title"/>
    <w:basedOn w:val="Fuentedeprrafopredeter"/>
    <w:uiPriority w:val="33"/>
    <w:rsid w:val="00EE15A8"/>
    <w:rPr>
      <w:rFonts w:ascii="Open Sans Light" w:hAnsi="Open Sans Light"/>
      <w:bCs/>
      <w:dstrike w:val="0"/>
      <w:color w:val="FF6C00"/>
      <w:spacing w:val="5"/>
      <w:sz w:val="72"/>
      <w:vertAlign w:val="baseline"/>
    </w:rPr>
  </w:style>
  <w:style w:type="character" w:styleId="Textoennegrita">
    <w:name w:val="Strong"/>
    <w:basedOn w:val="Fuentedeprrafopredeter"/>
    <w:uiPriority w:val="22"/>
    <w:qFormat/>
    <w:rsid w:val="001A23CD"/>
    <w:rPr>
      <w:rFonts w:ascii="Open Sans Semibold" w:hAnsi="Open Sans Semibold"/>
      <w:bCs/>
      <w:color w:val="0D0D0D" w:themeColor="text1" w:themeTint="F2"/>
    </w:rPr>
  </w:style>
  <w:style w:type="paragraph" w:customStyle="1" w:styleId="Enlace">
    <w:name w:val="Enlace"/>
    <w:basedOn w:val="Normal"/>
    <w:link w:val="EnlaceCar"/>
    <w:qFormat/>
    <w:rsid w:val="00EE15A8"/>
    <w:rPr>
      <w:color w:val="0096E4"/>
    </w:rPr>
  </w:style>
  <w:style w:type="character" w:styleId="nfasissutil">
    <w:name w:val="Subtle Emphasis"/>
    <w:basedOn w:val="Fuentedeprrafopredeter"/>
    <w:uiPriority w:val="19"/>
    <w:rsid w:val="00EE15A8"/>
    <w:rPr>
      <w:rFonts w:ascii="Open Sans Light" w:hAnsi="Open Sans Light"/>
      <w:i/>
      <w:iCs/>
      <w:color w:val="808080" w:themeColor="text1" w:themeTint="7F"/>
    </w:rPr>
  </w:style>
  <w:style w:type="character" w:customStyle="1" w:styleId="EnlaceCar">
    <w:name w:val="Enlace Car"/>
    <w:basedOn w:val="Fuentedeprrafopredeter"/>
    <w:link w:val="Enlace"/>
    <w:rsid w:val="00EE15A8"/>
    <w:rPr>
      <w:rFonts w:ascii="Open Sans Light" w:hAnsi="Open Sans Light"/>
      <w:color w:val="0096E4"/>
    </w:rPr>
  </w:style>
  <w:style w:type="paragraph" w:styleId="Encabezado">
    <w:name w:val="header"/>
    <w:basedOn w:val="Normal"/>
    <w:link w:val="EncabezadoCar"/>
    <w:uiPriority w:val="99"/>
    <w:unhideWhenUsed/>
    <w:rsid w:val="00B17E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7EDC"/>
    <w:rPr>
      <w:rFonts w:ascii="Open Sans Light" w:hAnsi="Open Sans Light"/>
    </w:rPr>
  </w:style>
  <w:style w:type="paragraph" w:styleId="Piedepgina">
    <w:name w:val="footer"/>
    <w:basedOn w:val="Normal"/>
    <w:link w:val="PiedepginaCar"/>
    <w:uiPriority w:val="99"/>
    <w:unhideWhenUsed/>
    <w:rsid w:val="00B17E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7EDC"/>
    <w:rPr>
      <w:rFonts w:ascii="Open Sans Light" w:hAnsi="Open Sans Light"/>
    </w:rPr>
  </w:style>
  <w:style w:type="paragraph" w:styleId="Textodeglobo">
    <w:name w:val="Balloon Text"/>
    <w:basedOn w:val="Normal"/>
    <w:link w:val="TextodegloboCar"/>
    <w:uiPriority w:val="99"/>
    <w:semiHidden/>
    <w:unhideWhenUsed/>
    <w:rsid w:val="00B17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EDC"/>
    <w:rPr>
      <w:rFonts w:ascii="Tahoma" w:hAnsi="Tahoma" w:cs="Tahoma"/>
      <w:sz w:val="16"/>
      <w:szCs w:val="16"/>
    </w:rPr>
  </w:style>
  <w:style w:type="paragraph" w:styleId="HTMLconformatoprevio">
    <w:name w:val="HTML Preformatted"/>
    <w:basedOn w:val="Normal"/>
    <w:link w:val="HTMLconformatoprevioCar"/>
    <w:uiPriority w:val="99"/>
    <w:semiHidden/>
    <w:unhideWhenUsed/>
    <w:rsid w:val="0086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66018"/>
    <w:rPr>
      <w:rFonts w:ascii="Courier New" w:eastAsia="Times New Roman" w:hAnsi="Courier New" w:cs="Courier New"/>
      <w:sz w:val="20"/>
      <w:szCs w:val="20"/>
      <w:lang w:eastAsia="es-ES"/>
    </w:rPr>
  </w:style>
  <w:style w:type="table" w:styleId="Tablaconcuadrcula">
    <w:name w:val="Table Grid"/>
    <w:basedOn w:val="Tablanormal"/>
    <w:uiPriority w:val="59"/>
    <w:rsid w:val="00222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rsid w:val="002C3F2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C3F26"/>
    <w:rPr>
      <w:rFonts w:ascii="Open Sans Light" w:hAnsi="Open Sans Light"/>
      <w:i/>
      <w:iCs/>
      <w:color w:val="404040" w:themeColor="text1" w:themeTint="BF"/>
    </w:rPr>
  </w:style>
  <w:style w:type="character" w:styleId="nfasis">
    <w:name w:val="Emphasis"/>
    <w:basedOn w:val="Fuentedeprrafopredeter"/>
    <w:uiPriority w:val="20"/>
    <w:rsid w:val="006D66A3"/>
    <w:rPr>
      <w:i/>
      <w:iCs/>
    </w:rPr>
  </w:style>
  <w:style w:type="paragraph" w:styleId="NormalWeb">
    <w:name w:val="Normal (Web)"/>
    <w:basedOn w:val="Normal"/>
    <w:uiPriority w:val="99"/>
    <w:semiHidden/>
    <w:unhideWhenUsed/>
    <w:rsid w:val="00E37142"/>
    <w:pPr>
      <w:spacing w:before="100" w:beforeAutospacing="1" w:after="142" w:line="288" w:lineRule="auto"/>
      <w:ind w:left="0"/>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37142"/>
    <w:rPr>
      <w:color w:val="0000FF"/>
      <w:u w:val="single"/>
    </w:rPr>
  </w:style>
  <w:style w:type="character" w:styleId="Nmerodelnea">
    <w:name w:val="line number"/>
    <w:basedOn w:val="Fuentedeprrafopredeter"/>
    <w:uiPriority w:val="99"/>
    <w:semiHidden/>
    <w:unhideWhenUsed/>
    <w:rsid w:val="005A210A"/>
  </w:style>
  <w:style w:type="paragraph" w:customStyle="1" w:styleId="Listado">
    <w:name w:val="Listado"/>
    <w:basedOn w:val="Prrafodelista"/>
    <w:link w:val="ListadoCar"/>
    <w:qFormat/>
    <w:rsid w:val="00EB663E"/>
    <w:pPr>
      <w:numPr>
        <w:numId w:val="27"/>
      </w:numPr>
      <w:ind w:left="1281" w:hanging="357"/>
    </w:pPr>
  </w:style>
  <w:style w:type="character" w:customStyle="1" w:styleId="PrrafodelistaCar">
    <w:name w:val="Párrafo de lista Car"/>
    <w:basedOn w:val="Fuentedeprrafopredeter"/>
    <w:link w:val="Prrafodelista"/>
    <w:uiPriority w:val="34"/>
    <w:rsid w:val="00EB663E"/>
    <w:rPr>
      <w:rFonts w:ascii="Open Sans Light" w:hAnsi="Open Sans Light"/>
    </w:rPr>
  </w:style>
  <w:style w:type="character" w:customStyle="1" w:styleId="ListadoCar">
    <w:name w:val="Listado Car"/>
    <w:basedOn w:val="PrrafodelistaCar"/>
    <w:link w:val="Listado"/>
    <w:rsid w:val="00EB663E"/>
    <w:rPr>
      <w:rFonts w:ascii="Open Sans Light" w:hAnsi="Open 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11637">
      <w:bodyDiv w:val="1"/>
      <w:marLeft w:val="0"/>
      <w:marRight w:val="0"/>
      <w:marTop w:val="0"/>
      <w:marBottom w:val="0"/>
      <w:divBdr>
        <w:top w:val="none" w:sz="0" w:space="0" w:color="auto"/>
        <w:left w:val="none" w:sz="0" w:space="0" w:color="auto"/>
        <w:bottom w:val="none" w:sz="0" w:space="0" w:color="auto"/>
        <w:right w:val="none" w:sz="0" w:space="0" w:color="auto"/>
      </w:divBdr>
    </w:div>
    <w:div w:id="604070338">
      <w:bodyDiv w:val="1"/>
      <w:marLeft w:val="0"/>
      <w:marRight w:val="0"/>
      <w:marTop w:val="0"/>
      <w:marBottom w:val="0"/>
      <w:divBdr>
        <w:top w:val="none" w:sz="0" w:space="0" w:color="auto"/>
        <w:left w:val="none" w:sz="0" w:space="0" w:color="auto"/>
        <w:bottom w:val="none" w:sz="0" w:space="0" w:color="auto"/>
        <w:right w:val="none" w:sz="0" w:space="0" w:color="auto"/>
      </w:divBdr>
    </w:div>
    <w:div w:id="721517148">
      <w:bodyDiv w:val="1"/>
      <w:marLeft w:val="0"/>
      <w:marRight w:val="0"/>
      <w:marTop w:val="0"/>
      <w:marBottom w:val="0"/>
      <w:divBdr>
        <w:top w:val="none" w:sz="0" w:space="0" w:color="auto"/>
        <w:left w:val="none" w:sz="0" w:space="0" w:color="auto"/>
        <w:bottom w:val="none" w:sz="0" w:space="0" w:color="auto"/>
        <w:right w:val="none" w:sz="0" w:space="0" w:color="auto"/>
      </w:divBdr>
    </w:div>
    <w:div w:id="748190487">
      <w:bodyDiv w:val="1"/>
      <w:marLeft w:val="0"/>
      <w:marRight w:val="0"/>
      <w:marTop w:val="0"/>
      <w:marBottom w:val="0"/>
      <w:divBdr>
        <w:top w:val="none" w:sz="0" w:space="0" w:color="auto"/>
        <w:left w:val="none" w:sz="0" w:space="0" w:color="auto"/>
        <w:bottom w:val="none" w:sz="0" w:space="0" w:color="auto"/>
        <w:right w:val="none" w:sz="0" w:space="0" w:color="auto"/>
      </w:divBdr>
    </w:div>
    <w:div w:id="950430751">
      <w:bodyDiv w:val="1"/>
      <w:marLeft w:val="0"/>
      <w:marRight w:val="0"/>
      <w:marTop w:val="0"/>
      <w:marBottom w:val="0"/>
      <w:divBdr>
        <w:top w:val="none" w:sz="0" w:space="0" w:color="auto"/>
        <w:left w:val="none" w:sz="0" w:space="0" w:color="auto"/>
        <w:bottom w:val="none" w:sz="0" w:space="0" w:color="auto"/>
        <w:right w:val="none" w:sz="0" w:space="0" w:color="auto"/>
      </w:divBdr>
    </w:div>
    <w:div w:id="1037314988">
      <w:bodyDiv w:val="1"/>
      <w:marLeft w:val="0"/>
      <w:marRight w:val="0"/>
      <w:marTop w:val="0"/>
      <w:marBottom w:val="0"/>
      <w:divBdr>
        <w:top w:val="none" w:sz="0" w:space="0" w:color="auto"/>
        <w:left w:val="none" w:sz="0" w:space="0" w:color="auto"/>
        <w:bottom w:val="none" w:sz="0" w:space="0" w:color="auto"/>
        <w:right w:val="none" w:sz="0" w:space="0" w:color="auto"/>
      </w:divBdr>
    </w:div>
    <w:div w:id="1524706260">
      <w:bodyDiv w:val="1"/>
      <w:marLeft w:val="0"/>
      <w:marRight w:val="0"/>
      <w:marTop w:val="0"/>
      <w:marBottom w:val="0"/>
      <w:divBdr>
        <w:top w:val="none" w:sz="0" w:space="0" w:color="auto"/>
        <w:left w:val="none" w:sz="0" w:space="0" w:color="auto"/>
        <w:bottom w:val="none" w:sz="0" w:space="0" w:color="auto"/>
        <w:right w:val="none" w:sz="0" w:space="0" w:color="auto"/>
      </w:divBdr>
    </w:div>
    <w:div w:id="1834027217">
      <w:bodyDiv w:val="1"/>
      <w:marLeft w:val="0"/>
      <w:marRight w:val="0"/>
      <w:marTop w:val="0"/>
      <w:marBottom w:val="0"/>
      <w:divBdr>
        <w:top w:val="none" w:sz="0" w:space="0" w:color="auto"/>
        <w:left w:val="none" w:sz="0" w:space="0" w:color="auto"/>
        <w:bottom w:val="none" w:sz="0" w:space="0" w:color="auto"/>
        <w:right w:val="none" w:sz="0" w:space="0" w:color="auto"/>
      </w:divBdr>
    </w:div>
    <w:div w:id="1904176519">
      <w:bodyDiv w:val="1"/>
      <w:marLeft w:val="0"/>
      <w:marRight w:val="0"/>
      <w:marTop w:val="0"/>
      <w:marBottom w:val="0"/>
      <w:divBdr>
        <w:top w:val="none" w:sz="0" w:space="0" w:color="auto"/>
        <w:left w:val="none" w:sz="0" w:space="0" w:color="auto"/>
        <w:bottom w:val="none" w:sz="0" w:space="0" w:color="auto"/>
        <w:right w:val="none" w:sz="0" w:space="0" w:color="auto"/>
      </w:divBdr>
    </w:div>
    <w:div w:id="1918786756">
      <w:bodyDiv w:val="1"/>
      <w:marLeft w:val="0"/>
      <w:marRight w:val="0"/>
      <w:marTop w:val="0"/>
      <w:marBottom w:val="0"/>
      <w:divBdr>
        <w:top w:val="none" w:sz="0" w:space="0" w:color="auto"/>
        <w:left w:val="none" w:sz="0" w:space="0" w:color="auto"/>
        <w:bottom w:val="none" w:sz="0" w:space="0" w:color="auto"/>
        <w:right w:val="none" w:sz="0" w:space="0" w:color="auto"/>
      </w:divBdr>
    </w:div>
    <w:div w:id="2047437548">
      <w:bodyDiv w:val="1"/>
      <w:marLeft w:val="0"/>
      <w:marRight w:val="0"/>
      <w:marTop w:val="0"/>
      <w:marBottom w:val="0"/>
      <w:divBdr>
        <w:top w:val="none" w:sz="0" w:space="0" w:color="auto"/>
        <w:left w:val="none" w:sz="0" w:space="0" w:color="auto"/>
        <w:bottom w:val="none" w:sz="0" w:space="0" w:color="auto"/>
        <w:right w:val="none" w:sz="0" w:space="0" w:color="auto"/>
      </w:divBdr>
    </w:div>
    <w:div w:id="2097049302">
      <w:bodyDiv w:val="1"/>
      <w:marLeft w:val="0"/>
      <w:marRight w:val="0"/>
      <w:marTop w:val="0"/>
      <w:marBottom w:val="0"/>
      <w:divBdr>
        <w:top w:val="none" w:sz="0" w:space="0" w:color="auto"/>
        <w:left w:val="none" w:sz="0" w:space="0" w:color="auto"/>
        <w:bottom w:val="none" w:sz="0" w:space="0" w:color="auto"/>
        <w:right w:val="none" w:sz="0" w:space="0" w:color="auto"/>
      </w:divBdr>
    </w:div>
    <w:div w:id="213655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2146C-1DC8-4E7C-A29A-5DD44590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3231</Words>
  <Characters>18357</Characters>
  <Application>Microsoft Office Word</Application>
  <DocSecurity>0</DocSecurity>
  <Lines>382</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Gestiona</dc:creator>
  <cp:lastModifiedBy>esPublico Gestiona</cp:lastModifiedBy>
  <cp:revision>4</cp:revision>
  <cp:lastPrinted>2015-09-09T12:44:00Z</cp:lastPrinted>
  <dcterms:created xsi:type="dcterms:W3CDTF">2017-11-06T12:45:00Z</dcterms:created>
  <dcterms:modified xsi:type="dcterms:W3CDTF">2017-11-06T12:51:00Z</dcterms:modified>
</cp:coreProperties>
</file>